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DE" w:rsidRPr="00A76948" w:rsidRDefault="00BE4F52" w:rsidP="00031CB1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76948">
        <w:rPr>
          <w:rFonts w:cstheme="minorHAnsi"/>
          <w:b/>
          <w:sz w:val="24"/>
          <w:szCs w:val="24"/>
        </w:rPr>
        <w:t>DEKLARACJA</w:t>
      </w:r>
      <w:r w:rsidR="004B7D97" w:rsidRPr="00A76948">
        <w:rPr>
          <w:rFonts w:cstheme="minorHAnsi"/>
          <w:b/>
          <w:sz w:val="24"/>
          <w:szCs w:val="24"/>
        </w:rPr>
        <w:t xml:space="preserve"> </w:t>
      </w:r>
      <w:r w:rsidR="00075ADE" w:rsidRPr="00A76948">
        <w:rPr>
          <w:rFonts w:cstheme="minorHAnsi"/>
          <w:b/>
          <w:sz w:val="24"/>
          <w:szCs w:val="24"/>
        </w:rPr>
        <w:t xml:space="preserve"> DOSTĘPNOŚCI</w:t>
      </w:r>
    </w:p>
    <w:p w:rsidR="00075ADE" w:rsidRPr="00A76948" w:rsidRDefault="00075ADE" w:rsidP="00A76948">
      <w:pPr>
        <w:spacing w:line="36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Sąd </w:t>
      </w:r>
      <w:r w:rsidR="0099654A">
        <w:rPr>
          <w:rFonts w:cstheme="minorHAnsi"/>
          <w:sz w:val="24"/>
          <w:szCs w:val="24"/>
        </w:rPr>
        <w:t>Rejonowy</w:t>
      </w:r>
      <w:r w:rsidR="004B7D97" w:rsidRPr="00A76948">
        <w:rPr>
          <w:rFonts w:cstheme="minorHAnsi"/>
          <w:sz w:val="24"/>
          <w:szCs w:val="24"/>
        </w:rPr>
        <w:t xml:space="preserve"> w Białymstoku </w:t>
      </w:r>
      <w:r w:rsidRPr="00A76948">
        <w:rPr>
          <w:rFonts w:cstheme="minorHAnsi"/>
          <w:sz w:val="24"/>
          <w:szCs w:val="24"/>
        </w:rPr>
        <w:t xml:space="preserve"> zobowiązuje się zapewnić dostępność swojej strony internetowej zgodnie</w:t>
      </w:r>
      <w:r w:rsidR="004B7D97" w:rsidRPr="00A76948">
        <w:rPr>
          <w:rFonts w:cstheme="minorHAnsi"/>
          <w:sz w:val="24"/>
          <w:szCs w:val="24"/>
        </w:rPr>
        <w:t xml:space="preserve"> z przepisami</w:t>
      </w:r>
      <w:r w:rsidRPr="00A76948">
        <w:rPr>
          <w:rFonts w:cstheme="minorHAnsi"/>
          <w:sz w:val="24"/>
          <w:szCs w:val="24"/>
        </w:rPr>
        <w:t xml:space="preserve"> </w:t>
      </w:r>
      <w:r w:rsidR="004B7D97" w:rsidRPr="00A76948">
        <w:rPr>
          <w:rFonts w:cstheme="minorHAnsi"/>
          <w:sz w:val="24"/>
          <w:szCs w:val="24"/>
        </w:rPr>
        <w:t>ustawy</w:t>
      </w:r>
      <w:r w:rsidRPr="00A76948">
        <w:rPr>
          <w:rFonts w:cstheme="minorHAnsi"/>
          <w:sz w:val="24"/>
          <w:szCs w:val="24"/>
        </w:rPr>
        <w:t xml:space="preserve"> z dnia 4 kwietnia 2019 r. o</w:t>
      </w:r>
      <w:r w:rsidR="004B7D97" w:rsidRPr="00A76948">
        <w:rPr>
          <w:rFonts w:cstheme="minorHAnsi"/>
          <w:sz w:val="24"/>
          <w:szCs w:val="24"/>
        </w:rPr>
        <w:t xml:space="preserve"> </w:t>
      </w:r>
      <w:r w:rsidRPr="00A76948">
        <w:rPr>
          <w:rFonts w:cstheme="minorHAnsi"/>
          <w:sz w:val="24"/>
          <w:szCs w:val="24"/>
        </w:rPr>
        <w:t>dostępności cyfrowej stron internetowych i aplikacji mobilnych podmiotów publicznych. Oświadczenie w sprawie dostępności ma</w:t>
      </w:r>
      <w:r w:rsidR="004B7D97" w:rsidRPr="00A76948">
        <w:rPr>
          <w:rFonts w:cstheme="minorHAnsi"/>
          <w:sz w:val="24"/>
          <w:szCs w:val="24"/>
        </w:rPr>
        <w:t xml:space="preserve"> </w:t>
      </w:r>
      <w:r w:rsidRPr="00A76948">
        <w:rPr>
          <w:rFonts w:cstheme="minorHAnsi"/>
          <w:sz w:val="24"/>
          <w:szCs w:val="24"/>
        </w:rPr>
        <w:t>zastosowanie do strony internetowej</w:t>
      </w:r>
      <w:r w:rsidR="004B7D97" w:rsidRPr="00A76948">
        <w:rPr>
          <w:rFonts w:cstheme="minorHAnsi"/>
          <w:sz w:val="24"/>
          <w:szCs w:val="24"/>
        </w:rPr>
        <w:t xml:space="preserve"> </w:t>
      </w:r>
      <w:hyperlink r:id="rId7" w:history="1">
        <w:r w:rsidR="0099654A" w:rsidRPr="00B70F6E">
          <w:rPr>
            <w:rStyle w:val="Hipercze"/>
            <w:rFonts w:cstheme="minorHAnsi"/>
            <w:sz w:val="24"/>
            <w:szCs w:val="24"/>
          </w:rPr>
          <w:t>http://bialystok.sr.gov.pl</w:t>
        </w:r>
      </w:hyperlink>
    </w:p>
    <w:p w:rsidR="00A22261" w:rsidRPr="00A76948" w:rsidRDefault="00A22261" w:rsidP="00A76948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Data publikacji strony internetowej: </w:t>
      </w:r>
      <w:r w:rsidR="009A65A3" w:rsidRPr="00B9773E">
        <w:rPr>
          <w:rFonts w:cstheme="minorHAnsi"/>
          <w:color w:val="000000" w:themeColor="text1"/>
          <w:sz w:val="24"/>
          <w:szCs w:val="24"/>
        </w:rPr>
        <w:t>2005-10-01</w:t>
      </w:r>
    </w:p>
    <w:p w:rsidR="00A22261" w:rsidRPr="00A76948" w:rsidRDefault="00A22261" w:rsidP="00A76948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76948">
        <w:rPr>
          <w:rFonts w:cstheme="minorHAnsi"/>
          <w:color w:val="000000" w:themeColor="text1"/>
          <w:sz w:val="24"/>
          <w:szCs w:val="24"/>
        </w:rPr>
        <w:t xml:space="preserve">Data ostatniej aktualizacji: </w:t>
      </w:r>
      <w:r w:rsidR="009A65A3" w:rsidRPr="00B9773E">
        <w:rPr>
          <w:rFonts w:cstheme="minorHAnsi"/>
          <w:color w:val="000000" w:themeColor="text1"/>
          <w:sz w:val="24"/>
          <w:szCs w:val="24"/>
        </w:rPr>
        <w:t>202</w:t>
      </w:r>
      <w:r w:rsidR="00B9773E">
        <w:rPr>
          <w:rFonts w:cstheme="minorHAnsi"/>
          <w:color w:val="000000" w:themeColor="text1"/>
          <w:sz w:val="24"/>
          <w:szCs w:val="24"/>
        </w:rPr>
        <w:t>2</w:t>
      </w:r>
      <w:r w:rsidR="00F13B50" w:rsidRPr="00B9773E">
        <w:rPr>
          <w:rFonts w:cstheme="minorHAnsi"/>
          <w:color w:val="000000" w:themeColor="text1"/>
          <w:sz w:val="24"/>
          <w:szCs w:val="24"/>
        </w:rPr>
        <w:t>-02-2</w:t>
      </w:r>
      <w:r w:rsidR="00B9773E">
        <w:rPr>
          <w:rFonts w:cstheme="minorHAnsi"/>
          <w:color w:val="000000" w:themeColor="text1"/>
          <w:sz w:val="24"/>
          <w:szCs w:val="24"/>
        </w:rPr>
        <w:t>5</w:t>
      </w:r>
    </w:p>
    <w:p w:rsidR="009A65A3" w:rsidRPr="00A76948" w:rsidRDefault="009A65A3" w:rsidP="00CE4BCA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A22261" w:rsidRPr="00A76948" w:rsidRDefault="00A22261" w:rsidP="00CE4BCA">
      <w:pPr>
        <w:jc w:val="both"/>
        <w:rPr>
          <w:rFonts w:cstheme="minorHAnsi"/>
          <w:b/>
          <w:sz w:val="24"/>
          <w:szCs w:val="24"/>
        </w:rPr>
      </w:pPr>
      <w:r w:rsidRPr="00A76948">
        <w:rPr>
          <w:rFonts w:cstheme="minorHAnsi"/>
          <w:b/>
          <w:sz w:val="24"/>
          <w:szCs w:val="24"/>
        </w:rPr>
        <w:t xml:space="preserve">Status pod względem zgodności z ustawą </w:t>
      </w:r>
    </w:p>
    <w:p w:rsidR="00075ADE" w:rsidRPr="00A76948" w:rsidRDefault="00075ADE" w:rsidP="00A76948">
      <w:pPr>
        <w:spacing w:line="36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Strona internetowa jest częściowo zgodna z ustawą z dnia 4 kwietnia 2019 r. o dostępności cyfrowej stron internetowych i aplikacji</w:t>
      </w:r>
      <w:r w:rsidR="0060630B" w:rsidRPr="00A76948">
        <w:rPr>
          <w:rFonts w:cstheme="minorHAnsi"/>
          <w:sz w:val="24"/>
          <w:szCs w:val="24"/>
        </w:rPr>
        <w:t xml:space="preserve"> </w:t>
      </w:r>
      <w:r w:rsidRPr="00A76948">
        <w:rPr>
          <w:rFonts w:cstheme="minorHAnsi"/>
          <w:sz w:val="24"/>
          <w:szCs w:val="24"/>
        </w:rPr>
        <w:t>mobilnych podmiotów publicznych z powodu niezgodności lu</w:t>
      </w:r>
      <w:r w:rsidR="00BE4F52" w:rsidRPr="00A76948">
        <w:rPr>
          <w:rFonts w:cstheme="minorHAnsi"/>
          <w:sz w:val="24"/>
          <w:szCs w:val="24"/>
        </w:rPr>
        <w:t>b wyłączeń wymienionych poniżej:</w:t>
      </w:r>
    </w:p>
    <w:p w:rsidR="00075ADE" w:rsidRPr="00A76948" w:rsidRDefault="001F090F" w:rsidP="00A7694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76948">
        <w:rPr>
          <w:rFonts w:cstheme="minorHAnsi"/>
          <w:color w:val="000000" w:themeColor="text1"/>
          <w:sz w:val="24"/>
          <w:szCs w:val="24"/>
        </w:rPr>
        <w:t>część plików nie jest dostępn</w:t>
      </w:r>
      <w:r w:rsidR="00562DDC">
        <w:rPr>
          <w:rFonts w:cstheme="minorHAnsi"/>
          <w:color w:val="000000" w:themeColor="text1"/>
          <w:sz w:val="24"/>
          <w:szCs w:val="24"/>
        </w:rPr>
        <w:t>a</w:t>
      </w:r>
      <w:r w:rsidRPr="00A76948">
        <w:rPr>
          <w:rFonts w:cstheme="minorHAnsi"/>
          <w:color w:val="000000" w:themeColor="text1"/>
          <w:sz w:val="24"/>
          <w:szCs w:val="24"/>
        </w:rPr>
        <w:t xml:space="preserve"> cyfrowo (skany PDF), gdyż zostały zamieszczone w formie załączników, pochodzą m</w:t>
      </w:r>
      <w:r w:rsidR="00562DDC">
        <w:rPr>
          <w:rFonts w:cstheme="minorHAnsi"/>
          <w:color w:val="000000" w:themeColor="text1"/>
          <w:sz w:val="24"/>
          <w:szCs w:val="24"/>
        </w:rPr>
        <w:t>.</w:t>
      </w:r>
      <w:r w:rsidRPr="00A76948">
        <w:rPr>
          <w:rFonts w:cstheme="minorHAnsi"/>
          <w:color w:val="000000" w:themeColor="text1"/>
          <w:sz w:val="24"/>
          <w:szCs w:val="24"/>
        </w:rPr>
        <w:t xml:space="preserve">in. od podmiotów zewnętrznych i zostały przekazane do publikacji w formie papierowej wymagającej przetworzenia do postaci elektronicznej (skany)   </w:t>
      </w:r>
    </w:p>
    <w:p w:rsidR="00075ADE" w:rsidRPr="00A76948" w:rsidRDefault="00075ADE" w:rsidP="00A7694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76948">
        <w:rPr>
          <w:rFonts w:cstheme="minorHAnsi"/>
          <w:color w:val="000000" w:themeColor="text1"/>
          <w:sz w:val="24"/>
          <w:szCs w:val="24"/>
        </w:rPr>
        <w:t>cześć plików publikowanych w ogłoszeniach przetargowych nie jest dostępna cyfrowo z uwagi na to, że jest to dokumentacja</w:t>
      </w:r>
      <w:r w:rsidR="001F090F" w:rsidRPr="00A76948">
        <w:rPr>
          <w:rFonts w:cstheme="minorHAnsi"/>
          <w:color w:val="000000" w:themeColor="text1"/>
          <w:sz w:val="24"/>
          <w:szCs w:val="24"/>
        </w:rPr>
        <w:t xml:space="preserve"> </w:t>
      </w:r>
      <w:r w:rsidRPr="00A76948">
        <w:rPr>
          <w:rFonts w:cstheme="minorHAnsi"/>
          <w:color w:val="000000" w:themeColor="text1"/>
          <w:sz w:val="24"/>
          <w:szCs w:val="24"/>
        </w:rPr>
        <w:t xml:space="preserve">projektowa, wytworzona w dedykowanym </w:t>
      </w:r>
      <w:r w:rsidR="00BE4F52" w:rsidRPr="00A76948">
        <w:rPr>
          <w:rFonts w:cstheme="minorHAnsi"/>
          <w:color w:val="000000" w:themeColor="text1"/>
          <w:sz w:val="24"/>
          <w:szCs w:val="24"/>
        </w:rPr>
        <w:t>oprogramowaniu</w:t>
      </w:r>
    </w:p>
    <w:p w:rsidR="00BE4F52" w:rsidRPr="00A76948" w:rsidRDefault="00BE4F52" w:rsidP="00A7694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76948">
        <w:rPr>
          <w:rFonts w:cstheme="minorHAnsi"/>
          <w:color w:val="000000" w:themeColor="text1"/>
          <w:sz w:val="24"/>
          <w:szCs w:val="24"/>
        </w:rPr>
        <w:t xml:space="preserve">Interaktywna mapa dojazdu do sądu </w:t>
      </w:r>
    </w:p>
    <w:p w:rsidR="00900BC4" w:rsidRPr="00A76948" w:rsidRDefault="00900BC4" w:rsidP="00900BC4">
      <w:pPr>
        <w:jc w:val="both"/>
        <w:rPr>
          <w:rFonts w:cstheme="minorHAnsi"/>
          <w:color w:val="FF0000"/>
          <w:sz w:val="24"/>
          <w:szCs w:val="24"/>
        </w:rPr>
      </w:pPr>
    </w:p>
    <w:p w:rsidR="00900BC4" w:rsidRPr="00A76948" w:rsidRDefault="00A13C97" w:rsidP="00A76948">
      <w:p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A76948">
        <w:rPr>
          <w:rFonts w:cstheme="minorHAnsi"/>
          <w:b/>
          <w:color w:val="000000" w:themeColor="text1"/>
          <w:sz w:val="24"/>
          <w:szCs w:val="24"/>
        </w:rPr>
        <w:t xml:space="preserve">Data sporządzenia </w:t>
      </w:r>
      <w:r w:rsidR="00BE4F52" w:rsidRPr="00A76948">
        <w:rPr>
          <w:rFonts w:cstheme="minorHAnsi"/>
          <w:b/>
          <w:color w:val="000000" w:themeColor="text1"/>
          <w:sz w:val="24"/>
          <w:szCs w:val="24"/>
        </w:rPr>
        <w:t>Deklaracji</w:t>
      </w:r>
      <w:r w:rsidRPr="00A76948">
        <w:rPr>
          <w:rFonts w:cstheme="minorHAnsi"/>
          <w:b/>
          <w:color w:val="000000" w:themeColor="text1"/>
          <w:sz w:val="24"/>
          <w:szCs w:val="24"/>
        </w:rPr>
        <w:t xml:space="preserve"> i metoda oceny</w:t>
      </w:r>
      <w:r w:rsidR="00BE4F52" w:rsidRPr="00A7694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A76948">
        <w:rPr>
          <w:rFonts w:cstheme="minorHAnsi"/>
          <w:b/>
          <w:color w:val="000000" w:themeColor="text1"/>
          <w:sz w:val="24"/>
          <w:szCs w:val="24"/>
        </w:rPr>
        <w:t xml:space="preserve">dostępności cyfrowej </w:t>
      </w:r>
    </w:p>
    <w:p w:rsidR="00075ADE" w:rsidRPr="00A76948" w:rsidRDefault="00075ADE" w:rsidP="00A76948">
      <w:p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Oświ</w:t>
      </w:r>
      <w:r w:rsidR="002D6769" w:rsidRPr="00A76948">
        <w:rPr>
          <w:rFonts w:cstheme="minorHAnsi"/>
          <w:sz w:val="24"/>
          <w:szCs w:val="24"/>
        </w:rPr>
        <w:t xml:space="preserve">adczenie sporządzono dnia: </w:t>
      </w:r>
      <w:r w:rsidR="002D6769" w:rsidRPr="00465D61">
        <w:rPr>
          <w:rFonts w:cstheme="minorHAnsi"/>
          <w:sz w:val="24"/>
          <w:szCs w:val="24"/>
        </w:rPr>
        <w:t>2020-10-22</w:t>
      </w:r>
    </w:p>
    <w:p w:rsidR="00075ADE" w:rsidRPr="00A76948" w:rsidRDefault="00075ADE" w:rsidP="00A76948">
      <w:p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Deklarację sporządzono na podstawie samooceny</w:t>
      </w:r>
      <w:r w:rsidR="00A13C97" w:rsidRPr="00A76948">
        <w:rPr>
          <w:rFonts w:cstheme="minorHAnsi"/>
          <w:sz w:val="24"/>
          <w:szCs w:val="24"/>
        </w:rPr>
        <w:t xml:space="preserve"> przeprowadzonej przez Sąd </w:t>
      </w:r>
      <w:r w:rsidR="0099654A">
        <w:rPr>
          <w:rFonts w:cstheme="minorHAnsi"/>
          <w:sz w:val="24"/>
          <w:szCs w:val="24"/>
        </w:rPr>
        <w:t>Rejonowy</w:t>
      </w:r>
      <w:r w:rsidR="00A13C97" w:rsidRPr="00A76948">
        <w:rPr>
          <w:rFonts w:cstheme="minorHAnsi"/>
          <w:sz w:val="24"/>
          <w:szCs w:val="24"/>
        </w:rPr>
        <w:t xml:space="preserve"> w Białymstoku. </w:t>
      </w:r>
    </w:p>
    <w:p w:rsidR="00A13C97" w:rsidRPr="00A76948" w:rsidRDefault="00A13C97" w:rsidP="00A76948">
      <w:pPr>
        <w:spacing w:line="360" w:lineRule="auto"/>
        <w:rPr>
          <w:rFonts w:cstheme="minorHAnsi"/>
          <w:sz w:val="24"/>
          <w:szCs w:val="24"/>
        </w:rPr>
      </w:pPr>
    </w:p>
    <w:p w:rsidR="00A13C97" w:rsidRPr="00A76948" w:rsidRDefault="00A13C97" w:rsidP="00A76948">
      <w:pPr>
        <w:spacing w:line="360" w:lineRule="auto"/>
        <w:rPr>
          <w:rFonts w:cstheme="minorHAnsi"/>
          <w:b/>
          <w:sz w:val="24"/>
          <w:szCs w:val="24"/>
        </w:rPr>
      </w:pPr>
      <w:r w:rsidRPr="00A76948">
        <w:rPr>
          <w:rFonts w:cstheme="minorHAnsi"/>
          <w:b/>
          <w:sz w:val="24"/>
          <w:szCs w:val="24"/>
        </w:rPr>
        <w:t>Skróty klawiaturowe</w:t>
      </w:r>
    </w:p>
    <w:p w:rsidR="00A13C97" w:rsidRPr="00A76948" w:rsidRDefault="00A13C97" w:rsidP="00A76948">
      <w:p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Na stronie internetowej można używać standardowych skrótów klawiaturowych przeglądarki. </w:t>
      </w:r>
    </w:p>
    <w:p w:rsidR="00D86D65" w:rsidRPr="00A76948" w:rsidRDefault="00D86D65" w:rsidP="00031CB1">
      <w:pPr>
        <w:rPr>
          <w:rFonts w:cstheme="minorHAnsi"/>
          <w:sz w:val="24"/>
          <w:szCs w:val="24"/>
        </w:rPr>
      </w:pPr>
    </w:p>
    <w:p w:rsidR="00075ADE" w:rsidRPr="00A76948" w:rsidRDefault="00075ADE" w:rsidP="00A76948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A76948">
        <w:rPr>
          <w:rFonts w:cstheme="minorHAnsi"/>
          <w:b/>
          <w:color w:val="000000" w:themeColor="text1"/>
          <w:sz w:val="24"/>
          <w:szCs w:val="24"/>
        </w:rPr>
        <w:t>Informacje zwrotne i dane kontaktowe</w:t>
      </w:r>
    </w:p>
    <w:p w:rsidR="00562DDC" w:rsidRDefault="00614476" w:rsidP="00A76948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Za rozpatrywanie uwag i wniosków odpowiada</w:t>
      </w:r>
      <w:r w:rsidR="00562DDC">
        <w:rPr>
          <w:rFonts w:cstheme="minorHAnsi"/>
          <w:sz w:val="24"/>
          <w:szCs w:val="24"/>
        </w:rPr>
        <w:t xml:space="preserve"> Pani Katarzyna Kieżel wyznaczona na wspólnego Koordynatora do spraw dostępności w sądach apelacji białostockiej </w:t>
      </w:r>
    </w:p>
    <w:p w:rsidR="00614476" w:rsidRPr="00A76948" w:rsidRDefault="00614476" w:rsidP="00A76948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E-mail: </w:t>
      </w:r>
      <w:hyperlink r:id="rId8" w:history="1">
        <w:r w:rsidR="001B2EF8" w:rsidRPr="00A76948">
          <w:rPr>
            <w:rStyle w:val="Hipercze"/>
            <w:rFonts w:cstheme="minorHAnsi"/>
            <w:sz w:val="24"/>
            <w:szCs w:val="24"/>
          </w:rPr>
          <w:t>katarzyna.kiezel@bialystok.sa.gov.pl</w:t>
        </w:r>
      </w:hyperlink>
    </w:p>
    <w:p w:rsidR="00614476" w:rsidRPr="00A76948" w:rsidRDefault="00614476" w:rsidP="00A76948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Telefon: </w:t>
      </w:r>
      <w:r w:rsidR="001B2EF8" w:rsidRPr="00A76948">
        <w:rPr>
          <w:rFonts w:cstheme="minorHAnsi"/>
          <w:sz w:val="24"/>
          <w:szCs w:val="24"/>
        </w:rPr>
        <w:t xml:space="preserve"> 85 7430 315 </w:t>
      </w:r>
    </w:p>
    <w:p w:rsidR="00614476" w:rsidRPr="00A76948" w:rsidRDefault="00614476" w:rsidP="00A76948">
      <w:p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Każdy ma prawo:</w:t>
      </w:r>
    </w:p>
    <w:p w:rsidR="00614476" w:rsidRPr="00A76948" w:rsidRDefault="00614476" w:rsidP="00A76948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zgłosić uwagi dotyczące dostępności cyfrowej strony lub jej elementu,</w:t>
      </w:r>
    </w:p>
    <w:p w:rsidR="00614476" w:rsidRPr="00A76948" w:rsidRDefault="00614476" w:rsidP="00A76948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zgłosić żądanie zapewnienia dostępności cyfrowej strony lub jej elementu,</w:t>
      </w:r>
    </w:p>
    <w:p w:rsidR="00614476" w:rsidRPr="00A76948" w:rsidRDefault="00614476" w:rsidP="00A76948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wnioskować o udostępnienie niedostępnej informacji w innej alternatywnej formie.</w:t>
      </w:r>
    </w:p>
    <w:p w:rsidR="00614476" w:rsidRPr="00A76948" w:rsidRDefault="00614476" w:rsidP="00A76948">
      <w:p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Żądanie musi zawierać:</w:t>
      </w:r>
    </w:p>
    <w:p w:rsidR="00614476" w:rsidRPr="00A76948" w:rsidRDefault="00614476" w:rsidP="00A76948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dane kontaktowe osoby zgłaszającej,</w:t>
      </w:r>
    </w:p>
    <w:p w:rsidR="00614476" w:rsidRPr="00A76948" w:rsidRDefault="00614476" w:rsidP="00A76948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wskazanie strony lub elementu strony, której dotyczy żądanie,</w:t>
      </w:r>
    </w:p>
    <w:p w:rsidR="00614476" w:rsidRPr="00A76948" w:rsidRDefault="00614476" w:rsidP="00A76948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wskazanie dogodnej formy udostępnienia informacji, jeśli żądanie dotyczy udostępnienia w formie alternatywnej informacji niedostępnej.</w:t>
      </w:r>
    </w:p>
    <w:p w:rsidR="00614476" w:rsidRPr="00A76948" w:rsidRDefault="00614476" w:rsidP="00A76948">
      <w:pPr>
        <w:spacing w:line="36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614476" w:rsidRPr="004231E3" w:rsidRDefault="00614476" w:rsidP="00A76948">
      <w:pPr>
        <w:spacing w:line="360" w:lineRule="auto"/>
        <w:rPr>
          <w:rFonts w:cstheme="minorHAnsi"/>
          <w:b/>
          <w:sz w:val="24"/>
          <w:szCs w:val="24"/>
        </w:rPr>
      </w:pPr>
      <w:r w:rsidRPr="004231E3">
        <w:rPr>
          <w:rFonts w:cstheme="minorHAnsi"/>
          <w:b/>
          <w:sz w:val="24"/>
          <w:szCs w:val="24"/>
        </w:rPr>
        <w:t>Skargi i odwołania</w:t>
      </w:r>
    </w:p>
    <w:p w:rsidR="00614476" w:rsidRPr="00A76948" w:rsidRDefault="00614476" w:rsidP="00A76948">
      <w:p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Na niedotrzymanie tych terminów oraz na odmowę realizacji żądania można złożyć skargę do organu nadzorującego</w:t>
      </w:r>
      <w:r w:rsidR="006C5E54">
        <w:rPr>
          <w:rFonts w:cstheme="minorHAnsi"/>
          <w:sz w:val="24"/>
          <w:szCs w:val="24"/>
        </w:rPr>
        <w:t>,</w:t>
      </w:r>
      <w:r w:rsidRPr="00A76948">
        <w:rPr>
          <w:rFonts w:cstheme="minorHAnsi"/>
          <w:sz w:val="24"/>
          <w:szCs w:val="24"/>
        </w:rPr>
        <w:t xml:space="preserve"> pocztą lub drogą elektroniczną na adres:</w:t>
      </w:r>
    </w:p>
    <w:p w:rsidR="001B2EF8" w:rsidRPr="00A76948" w:rsidRDefault="002D6769" w:rsidP="00A76948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Organ nadzorujący: Prezes Sądu </w:t>
      </w:r>
      <w:r w:rsidR="004C5311">
        <w:rPr>
          <w:rFonts w:cstheme="minorHAnsi"/>
          <w:sz w:val="24"/>
          <w:szCs w:val="24"/>
        </w:rPr>
        <w:t>Rejonowego</w:t>
      </w:r>
      <w:r w:rsidRPr="00A76948">
        <w:rPr>
          <w:rFonts w:cstheme="minorHAnsi"/>
          <w:sz w:val="24"/>
          <w:szCs w:val="24"/>
        </w:rPr>
        <w:t xml:space="preserve"> w Białymstoku </w:t>
      </w:r>
    </w:p>
    <w:p w:rsidR="004231E3" w:rsidRDefault="002D6769" w:rsidP="004231E3">
      <w:pPr>
        <w:pStyle w:val="Akapitzlist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Adres: </w:t>
      </w:r>
      <w:r w:rsidR="004231E3">
        <w:rPr>
          <w:rFonts w:cstheme="minorHAnsi"/>
          <w:sz w:val="24"/>
          <w:szCs w:val="24"/>
        </w:rPr>
        <w:t>Sąd Rejonowy w Białymstoku</w:t>
      </w:r>
    </w:p>
    <w:p w:rsidR="004231E3" w:rsidRDefault="002D6769" w:rsidP="004231E3">
      <w:pPr>
        <w:pStyle w:val="Akapitzlist"/>
        <w:spacing w:line="24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ul. Mickiewicza </w:t>
      </w:r>
      <w:r w:rsidR="004C5311">
        <w:rPr>
          <w:rFonts w:cstheme="minorHAnsi"/>
          <w:sz w:val="24"/>
          <w:szCs w:val="24"/>
        </w:rPr>
        <w:t>103</w:t>
      </w:r>
    </w:p>
    <w:p w:rsidR="001B2EF8" w:rsidRPr="00A76948" w:rsidRDefault="002D6769" w:rsidP="004231E3">
      <w:pPr>
        <w:pStyle w:val="Akapitzlist"/>
        <w:spacing w:line="24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15-950 Białystok </w:t>
      </w:r>
    </w:p>
    <w:p w:rsidR="001B2EF8" w:rsidRPr="00A76948" w:rsidRDefault="002D6769" w:rsidP="00A76948">
      <w:pPr>
        <w:pStyle w:val="Akapitzlist"/>
        <w:numPr>
          <w:ilvl w:val="0"/>
          <w:numId w:val="13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A76948">
        <w:rPr>
          <w:rFonts w:cstheme="minorHAnsi"/>
          <w:sz w:val="24"/>
          <w:szCs w:val="24"/>
        </w:rPr>
        <w:t xml:space="preserve">E-mail:  </w:t>
      </w:r>
      <w:hyperlink r:id="rId9" w:history="1">
        <w:r w:rsidR="004C5311" w:rsidRPr="004F55C1">
          <w:rPr>
            <w:rStyle w:val="Hipercze"/>
            <w:rFonts w:cstheme="minorHAnsi"/>
            <w:sz w:val="24"/>
            <w:szCs w:val="24"/>
          </w:rPr>
          <w:t>oa@bialystok.sr.gov.pl</w:t>
        </w:r>
      </w:hyperlink>
    </w:p>
    <w:p w:rsidR="002D6769" w:rsidRPr="00A76948" w:rsidRDefault="002D6769" w:rsidP="00A76948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Telefon: 85 </w:t>
      </w:r>
      <w:r w:rsidR="004C5311">
        <w:rPr>
          <w:rFonts w:cstheme="minorHAnsi"/>
          <w:sz w:val="24"/>
          <w:szCs w:val="24"/>
        </w:rPr>
        <w:t>665 62</w:t>
      </w:r>
      <w:r w:rsidR="006C5E54">
        <w:rPr>
          <w:rFonts w:cstheme="minorHAnsi"/>
          <w:sz w:val="24"/>
          <w:szCs w:val="24"/>
        </w:rPr>
        <w:t xml:space="preserve"> </w:t>
      </w:r>
      <w:r w:rsidR="004C5311">
        <w:rPr>
          <w:rFonts w:cstheme="minorHAnsi"/>
          <w:sz w:val="24"/>
          <w:szCs w:val="24"/>
        </w:rPr>
        <w:t>0</w:t>
      </w:r>
      <w:r w:rsidRPr="00A76948">
        <w:rPr>
          <w:rFonts w:cstheme="minorHAnsi"/>
          <w:sz w:val="24"/>
          <w:szCs w:val="24"/>
        </w:rPr>
        <w:t>0</w:t>
      </w:r>
    </w:p>
    <w:p w:rsidR="00075ADE" w:rsidRPr="00A76948" w:rsidRDefault="001B2EF8" w:rsidP="00A76948">
      <w:pPr>
        <w:spacing w:line="36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S</w:t>
      </w:r>
      <w:r w:rsidR="00075ADE" w:rsidRPr="00A76948">
        <w:rPr>
          <w:rFonts w:cstheme="minorHAnsi"/>
          <w:sz w:val="24"/>
          <w:szCs w:val="24"/>
        </w:rPr>
        <w:t xml:space="preserve">kargę można </w:t>
      </w:r>
      <w:r w:rsidRPr="00A76948">
        <w:rPr>
          <w:rFonts w:cstheme="minorHAnsi"/>
          <w:sz w:val="24"/>
          <w:szCs w:val="24"/>
        </w:rPr>
        <w:t>złożyć</w:t>
      </w:r>
      <w:r w:rsidR="00075ADE" w:rsidRPr="00A76948">
        <w:rPr>
          <w:rFonts w:cstheme="minorHAnsi"/>
          <w:sz w:val="24"/>
          <w:szCs w:val="24"/>
        </w:rPr>
        <w:t xml:space="preserve"> </w:t>
      </w:r>
      <w:r w:rsidRPr="00A76948">
        <w:rPr>
          <w:rFonts w:cstheme="minorHAnsi"/>
          <w:sz w:val="24"/>
          <w:szCs w:val="24"/>
        </w:rPr>
        <w:t>również do</w:t>
      </w:r>
      <w:r w:rsidR="00395F82" w:rsidRPr="00A76948">
        <w:rPr>
          <w:rFonts w:cstheme="minorHAnsi"/>
          <w:sz w:val="24"/>
          <w:szCs w:val="24"/>
        </w:rPr>
        <w:t xml:space="preserve"> </w:t>
      </w:r>
      <w:r w:rsidR="00395F82" w:rsidRPr="00A76948">
        <w:rPr>
          <w:rFonts w:cstheme="minorHAnsi"/>
          <w:sz w:val="24"/>
          <w:szCs w:val="24"/>
          <w:u w:val="single"/>
        </w:rPr>
        <w:t>Rzecznika Praw Obywatelskich</w:t>
      </w:r>
    </w:p>
    <w:p w:rsidR="00342D0E" w:rsidRPr="00A76948" w:rsidRDefault="00342D0E" w:rsidP="00DC1717">
      <w:pPr>
        <w:jc w:val="both"/>
        <w:rPr>
          <w:rFonts w:cstheme="minorHAnsi"/>
          <w:sz w:val="24"/>
          <w:szCs w:val="24"/>
        </w:rPr>
      </w:pPr>
    </w:p>
    <w:p w:rsidR="009D5947" w:rsidRPr="00A76948" w:rsidRDefault="001B2EF8" w:rsidP="00A7694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76948">
        <w:rPr>
          <w:rFonts w:cstheme="minorHAnsi"/>
          <w:b/>
          <w:sz w:val="24"/>
          <w:szCs w:val="24"/>
        </w:rPr>
        <w:lastRenderedPageBreak/>
        <w:t xml:space="preserve">Dostępność architektoniczna </w:t>
      </w:r>
    </w:p>
    <w:p w:rsidR="00140736" w:rsidRPr="00A76948" w:rsidRDefault="00140736" w:rsidP="00140736">
      <w:pPr>
        <w:spacing w:line="24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Siedziba Sądu </w:t>
      </w:r>
      <w:r>
        <w:rPr>
          <w:rFonts w:cstheme="minorHAnsi"/>
          <w:sz w:val="24"/>
          <w:szCs w:val="24"/>
        </w:rPr>
        <w:t xml:space="preserve">Rejonowego </w:t>
      </w:r>
      <w:r w:rsidRPr="00A76948">
        <w:rPr>
          <w:rFonts w:cstheme="minorHAnsi"/>
          <w:sz w:val="24"/>
          <w:szCs w:val="24"/>
        </w:rPr>
        <w:t xml:space="preserve">w Białymstoku mieści się przy ulicy Mickiewicza </w:t>
      </w:r>
      <w:r>
        <w:rPr>
          <w:rFonts w:cstheme="minorHAnsi"/>
          <w:sz w:val="24"/>
          <w:szCs w:val="24"/>
        </w:rPr>
        <w:t>103</w:t>
      </w:r>
      <w:r w:rsidRPr="00A76948">
        <w:rPr>
          <w:rFonts w:cstheme="minorHAnsi"/>
          <w:sz w:val="24"/>
          <w:szCs w:val="24"/>
        </w:rPr>
        <w:t>, 15-</w:t>
      </w:r>
      <w:r w:rsidR="006C5E54">
        <w:rPr>
          <w:rFonts w:cstheme="minorHAnsi"/>
          <w:sz w:val="24"/>
          <w:szCs w:val="24"/>
        </w:rPr>
        <w:t>950</w:t>
      </w:r>
      <w:r w:rsidRPr="00A76948">
        <w:rPr>
          <w:rFonts w:cstheme="minorHAnsi"/>
          <w:sz w:val="24"/>
          <w:szCs w:val="24"/>
        </w:rPr>
        <w:t xml:space="preserve"> Białystok</w:t>
      </w:r>
      <w:r>
        <w:rPr>
          <w:rFonts w:cstheme="minorHAnsi"/>
          <w:sz w:val="24"/>
          <w:szCs w:val="24"/>
        </w:rPr>
        <w:t xml:space="preserve">. Budynek </w:t>
      </w:r>
      <w:r w:rsidR="006C5E5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ądu składa się z</w:t>
      </w:r>
      <w:r w:rsidRPr="00A769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segmentów A, B, C i E.</w:t>
      </w:r>
    </w:p>
    <w:p w:rsidR="00140736" w:rsidRPr="00A76948" w:rsidRDefault="00140736" w:rsidP="00140736">
      <w:pPr>
        <w:spacing w:line="24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Do budynku można dojechać samodzielnie lub środkami komunikacji publicznej. Najbliższy przystanek autobusowy znajduje się w odległości </w:t>
      </w:r>
      <w:r w:rsidRPr="00A76948">
        <w:rPr>
          <w:rFonts w:cstheme="minorHAnsi"/>
          <w:sz w:val="24"/>
          <w:szCs w:val="24"/>
        </w:rPr>
        <w:sym w:font="Symbol" w:char="F07E"/>
      </w:r>
      <w:r>
        <w:rPr>
          <w:rFonts w:cstheme="minorHAnsi"/>
          <w:sz w:val="24"/>
          <w:szCs w:val="24"/>
        </w:rPr>
        <w:t>15</w:t>
      </w:r>
      <w:r w:rsidRPr="00A76948">
        <w:rPr>
          <w:rFonts w:cstheme="minorHAnsi"/>
          <w:sz w:val="24"/>
          <w:szCs w:val="24"/>
        </w:rPr>
        <w:t>0m</w:t>
      </w:r>
      <w:r>
        <w:rPr>
          <w:rFonts w:cstheme="minorHAnsi"/>
          <w:sz w:val="24"/>
          <w:szCs w:val="24"/>
        </w:rPr>
        <w:t xml:space="preserve">, od którego można dojść schodami wyposażonymi w barierkę, jak również pochylnią, która nie jest zabezpieczona barierką. </w:t>
      </w:r>
    </w:p>
    <w:p w:rsidR="00140736" w:rsidRPr="00A76948" w:rsidRDefault="00140736" w:rsidP="0014073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 budynkiem sądu na przeciw</w:t>
      </w:r>
      <w:r w:rsidRPr="00A76948">
        <w:rPr>
          <w:rFonts w:cstheme="minorHAnsi"/>
          <w:sz w:val="24"/>
          <w:szCs w:val="24"/>
        </w:rPr>
        <w:t xml:space="preserve"> wejści</w:t>
      </w:r>
      <w:r>
        <w:rPr>
          <w:rFonts w:cstheme="minorHAnsi"/>
          <w:sz w:val="24"/>
          <w:szCs w:val="24"/>
        </w:rPr>
        <w:t>a</w:t>
      </w:r>
      <w:r w:rsidRPr="00A76948">
        <w:rPr>
          <w:rFonts w:cstheme="minorHAnsi"/>
          <w:sz w:val="24"/>
          <w:szCs w:val="24"/>
        </w:rPr>
        <w:t xml:space="preserve"> główn</w:t>
      </w:r>
      <w:r>
        <w:rPr>
          <w:rFonts w:cstheme="minorHAnsi"/>
          <w:sz w:val="24"/>
          <w:szCs w:val="24"/>
        </w:rPr>
        <w:t>ego</w:t>
      </w:r>
      <w:r w:rsidRPr="00A76948">
        <w:rPr>
          <w:rFonts w:cstheme="minorHAnsi"/>
          <w:sz w:val="24"/>
          <w:szCs w:val="24"/>
        </w:rPr>
        <w:t xml:space="preserve"> od ulicy Mickiewicza, znajduj</w:t>
      </w:r>
      <w:r>
        <w:rPr>
          <w:rFonts w:cstheme="minorHAnsi"/>
          <w:sz w:val="24"/>
          <w:szCs w:val="24"/>
        </w:rPr>
        <w:t>ą</w:t>
      </w:r>
      <w:r w:rsidRPr="00A76948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4</w:t>
      </w:r>
      <w:r w:rsidRPr="00A76948">
        <w:rPr>
          <w:rFonts w:cstheme="minorHAnsi"/>
          <w:sz w:val="24"/>
          <w:szCs w:val="24"/>
        </w:rPr>
        <w:t xml:space="preserve"> miejsc</w:t>
      </w:r>
      <w:r>
        <w:rPr>
          <w:rFonts w:cstheme="minorHAnsi"/>
          <w:sz w:val="24"/>
          <w:szCs w:val="24"/>
        </w:rPr>
        <w:t>a</w:t>
      </w:r>
      <w:r w:rsidRPr="00A76948">
        <w:rPr>
          <w:rFonts w:cstheme="minorHAnsi"/>
          <w:sz w:val="24"/>
          <w:szCs w:val="24"/>
        </w:rPr>
        <w:t xml:space="preserve"> parkingow</w:t>
      </w:r>
      <w:r>
        <w:rPr>
          <w:rFonts w:cstheme="minorHAnsi"/>
          <w:sz w:val="24"/>
          <w:szCs w:val="24"/>
        </w:rPr>
        <w:t xml:space="preserve">e </w:t>
      </w:r>
      <w:r w:rsidRPr="00A76948">
        <w:rPr>
          <w:rFonts w:cstheme="minorHAnsi"/>
          <w:sz w:val="24"/>
          <w:szCs w:val="24"/>
        </w:rPr>
        <w:t>dla osób z niepełnosprawnością ruchową</w:t>
      </w:r>
      <w:r>
        <w:rPr>
          <w:rFonts w:cstheme="minorHAnsi"/>
          <w:sz w:val="24"/>
          <w:szCs w:val="24"/>
        </w:rPr>
        <w:t>,</w:t>
      </w:r>
      <w:r w:rsidRPr="00A76948">
        <w:rPr>
          <w:rFonts w:cstheme="minorHAnsi"/>
          <w:sz w:val="24"/>
          <w:szCs w:val="24"/>
        </w:rPr>
        <w:t xml:space="preserve"> poruszających się na wózku inwalidzkim</w:t>
      </w:r>
      <w:r w:rsidRPr="00061857">
        <w:t xml:space="preserve"> </w:t>
      </w:r>
      <w:r w:rsidRPr="00061857">
        <w:rPr>
          <w:rFonts w:cstheme="minorHAnsi"/>
          <w:sz w:val="24"/>
          <w:szCs w:val="24"/>
        </w:rPr>
        <w:t>lub opiekunów dzieci z wózkami</w:t>
      </w:r>
      <w:r>
        <w:rPr>
          <w:rFonts w:cstheme="minorHAnsi"/>
          <w:sz w:val="24"/>
          <w:szCs w:val="24"/>
        </w:rPr>
        <w:t xml:space="preserve">, </w:t>
      </w:r>
      <w:r w:rsidRPr="00061857">
        <w:rPr>
          <w:rFonts w:cstheme="minorHAnsi"/>
          <w:sz w:val="24"/>
          <w:szCs w:val="24"/>
        </w:rPr>
        <w:t>w tym 2 miejsca od strony budynku oraz 2 miejsca po drugiej stronie drogi dojazdowej.</w:t>
      </w:r>
      <w:r w:rsidRPr="00A76948">
        <w:rPr>
          <w:rFonts w:cstheme="minorHAnsi"/>
          <w:sz w:val="24"/>
          <w:szCs w:val="24"/>
        </w:rPr>
        <w:t xml:space="preserve">  </w:t>
      </w:r>
    </w:p>
    <w:p w:rsidR="00140736" w:rsidRDefault="00140736" w:rsidP="0014073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parkingu do wejścia głównego </w:t>
      </w:r>
      <w:r w:rsidRPr="00A76948">
        <w:rPr>
          <w:rFonts w:cstheme="minorHAnsi"/>
          <w:sz w:val="24"/>
          <w:szCs w:val="24"/>
        </w:rPr>
        <w:t xml:space="preserve">budynku </w:t>
      </w:r>
      <w:r>
        <w:rPr>
          <w:rFonts w:cstheme="minorHAnsi"/>
          <w:sz w:val="24"/>
          <w:szCs w:val="24"/>
        </w:rPr>
        <w:t>sądu z uwagi na różnicę poziomu terenu należy udać się przez pochylnię o nachyleniu 5,6%, zabezpieczoną barierkami</w:t>
      </w:r>
      <w:r w:rsidR="006C5E5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 następnie specjalnym elektrycznym podnośnikiem (platformą) o udźwigu 300kg, która znajduje się tuż za ścianą. </w:t>
      </w:r>
    </w:p>
    <w:p w:rsidR="00140736" w:rsidRDefault="00140736" w:rsidP="0014073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Do budynku prowadzą </w:t>
      </w:r>
      <w:r>
        <w:rPr>
          <w:rFonts w:cstheme="minorHAnsi"/>
          <w:sz w:val="24"/>
          <w:szCs w:val="24"/>
        </w:rPr>
        <w:t>2</w:t>
      </w:r>
      <w:r w:rsidRPr="00A76948">
        <w:rPr>
          <w:rFonts w:cstheme="minorHAnsi"/>
          <w:sz w:val="24"/>
          <w:szCs w:val="24"/>
        </w:rPr>
        <w:t xml:space="preserve"> wejścia</w:t>
      </w:r>
      <w:r>
        <w:rPr>
          <w:rFonts w:cstheme="minorHAnsi"/>
          <w:sz w:val="24"/>
          <w:szCs w:val="24"/>
        </w:rPr>
        <w:t>:</w:t>
      </w:r>
    </w:p>
    <w:p w:rsidR="00140736" w:rsidRPr="00A76948" w:rsidRDefault="00140736" w:rsidP="00140736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Wejście główne (drzwi </w:t>
      </w:r>
      <w:r>
        <w:rPr>
          <w:rFonts w:cstheme="minorHAnsi"/>
          <w:sz w:val="24"/>
          <w:szCs w:val="24"/>
        </w:rPr>
        <w:t>rozsuwane</w:t>
      </w:r>
      <w:r w:rsidRPr="00A76948">
        <w:rPr>
          <w:rFonts w:cstheme="minorHAnsi"/>
          <w:sz w:val="24"/>
          <w:szCs w:val="24"/>
        </w:rPr>
        <w:t xml:space="preserve">), które jest dostosowane do potrzeb osób z niepełnosprawnością ruchową. Wejście to jest przeznaczone dla interesantów którzy udają się do </w:t>
      </w:r>
      <w:r>
        <w:rPr>
          <w:rFonts w:cstheme="minorHAnsi"/>
          <w:sz w:val="24"/>
          <w:szCs w:val="24"/>
        </w:rPr>
        <w:t xml:space="preserve">Biur Podawczych, </w:t>
      </w:r>
      <w:r w:rsidRPr="00A76948">
        <w:rPr>
          <w:rFonts w:cstheme="minorHAnsi"/>
          <w:sz w:val="24"/>
          <w:szCs w:val="24"/>
        </w:rPr>
        <w:t>Biura Obsługi Interesanta, Czytelni Akt i sal rozpraw</w:t>
      </w:r>
      <w:r>
        <w:rPr>
          <w:rFonts w:cstheme="minorHAnsi"/>
          <w:sz w:val="24"/>
          <w:szCs w:val="24"/>
        </w:rPr>
        <w:t>. J</w:t>
      </w:r>
      <w:r w:rsidRPr="00A76948">
        <w:rPr>
          <w:rFonts w:cstheme="minorHAnsi"/>
          <w:sz w:val="24"/>
          <w:szCs w:val="24"/>
        </w:rPr>
        <w:t xml:space="preserve">ednocześnie </w:t>
      </w:r>
      <w:r>
        <w:rPr>
          <w:rFonts w:cstheme="minorHAnsi"/>
          <w:sz w:val="24"/>
          <w:szCs w:val="24"/>
        </w:rPr>
        <w:t xml:space="preserve">jest to </w:t>
      </w:r>
      <w:r w:rsidRPr="00A76948">
        <w:rPr>
          <w:rFonts w:cstheme="minorHAnsi"/>
          <w:sz w:val="24"/>
          <w:szCs w:val="24"/>
        </w:rPr>
        <w:t>wejście służbow</w:t>
      </w:r>
      <w:r w:rsidR="00F5792F">
        <w:rPr>
          <w:rFonts w:cstheme="minorHAnsi"/>
          <w:sz w:val="24"/>
          <w:szCs w:val="24"/>
        </w:rPr>
        <w:t>e</w:t>
      </w:r>
      <w:r w:rsidRPr="00A76948">
        <w:rPr>
          <w:rFonts w:cstheme="minorHAnsi"/>
          <w:sz w:val="24"/>
          <w:szCs w:val="24"/>
        </w:rPr>
        <w:t>.</w:t>
      </w:r>
    </w:p>
    <w:p w:rsidR="00140736" w:rsidRPr="005A4467" w:rsidRDefault="00140736" w:rsidP="00140736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A4467">
        <w:rPr>
          <w:rFonts w:cstheme="minorHAnsi"/>
          <w:sz w:val="24"/>
          <w:szCs w:val="24"/>
        </w:rPr>
        <w:t>Wejście boczne przy wejściu głównym (drzwi jednoskrzydłowe), które jest dostosowane do potrzeb osób z niepełnosprawnością ruchową lub poruszających się na wózku inwalidzkim.</w:t>
      </w:r>
    </w:p>
    <w:p w:rsidR="00140736" w:rsidRPr="00A76948" w:rsidRDefault="00140736" w:rsidP="00140736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:rsidR="00140736" w:rsidRPr="00A76948" w:rsidRDefault="00140736" w:rsidP="00140736">
      <w:pPr>
        <w:spacing w:line="24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Osoby zainteresowane mogą </w:t>
      </w:r>
      <w:r>
        <w:rPr>
          <w:rFonts w:cstheme="minorHAnsi"/>
          <w:sz w:val="24"/>
          <w:szCs w:val="24"/>
        </w:rPr>
        <w:t>zgłaszać chęć</w:t>
      </w:r>
      <w:r w:rsidRPr="00A769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otrzymania</w:t>
      </w:r>
      <w:r w:rsidRPr="00A76948">
        <w:rPr>
          <w:rFonts w:cstheme="minorHAnsi"/>
          <w:sz w:val="24"/>
          <w:szCs w:val="24"/>
        </w:rPr>
        <w:t xml:space="preserve"> pomocy</w:t>
      </w:r>
      <w:r>
        <w:rPr>
          <w:rFonts w:cstheme="minorHAnsi"/>
          <w:sz w:val="24"/>
          <w:szCs w:val="24"/>
        </w:rPr>
        <w:t>.</w:t>
      </w:r>
      <w:r w:rsidRPr="00A769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 w:rsidRPr="00A76948">
        <w:rPr>
          <w:rFonts w:cstheme="minorHAnsi"/>
          <w:sz w:val="24"/>
          <w:szCs w:val="24"/>
        </w:rPr>
        <w:t xml:space="preserve"> tym celu proszone są o powiadomienie przybycia poprzez naciśnięcie </w:t>
      </w:r>
      <w:r>
        <w:rPr>
          <w:rFonts w:cstheme="minorHAnsi"/>
          <w:sz w:val="24"/>
          <w:szCs w:val="24"/>
        </w:rPr>
        <w:t xml:space="preserve">przycisku wideofonu </w:t>
      </w:r>
      <w:r w:rsidRPr="00A76948">
        <w:rPr>
          <w:rFonts w:cstheme="minorHAnsi"/>
          <w:sz w:val="24"/>
          <w:szCs w:val="24"/>
        </w:rPr>
        <w:t>zainstalowanego przy wejściu bocznym</w:t>
      </w:r>
      <w:r>
        <w:rPr>
          <w:rFonts w:cstheme="minorHAnsi"/>
          <w:sz w:val="24"/>
          <w:szCs w:val="24"/>
        </w:rPr>
        <w:t>.</w:t>
      </w:r>
      <w:r w:rsidRPr="00A769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 w:rsidRPr="00A76948">
        <w:rPr>
          <w:rFonts w:cstheme="minorHAnsi"/>
          <w:sz w:val="24"/>
          <w:szCs w:val="24"/>
        </w:rPr>
        <w:t xml:space="preserve"> celu wcześniejszego przygotowania wizyty w Sądzie uprzejmie prosimy o skontaktowanie się z Biurem Obsługi Interesanta pod numerem telefonu </w:t>
      </w:r>
      <w:r w:rsidRPr="008A5AB1">
        <w:rPr>
          <w:rFonts w:cstheme="minorHAnsi"/>
          <w:sz w:val="24"/>
          <w:szCs w:val="24"/>
        </w:rPr>
        <w:t>85 665 65 10</w:t>
      </w:r>
      <w:r w:rsidRPr="00A76948">
        <w:rPr>
          <w:rFonts w:cstheme="minorHAnsi"/>
          <w:sz w:val="24"/>
          <w:szCs w:val="24"/>
        </w:rPr>
        <w:t xml:space="preserve">. </w:t>
      </w:r>
    </w:p>
    <w:p w:rsidR="00140736" w:rsidRPr="00A76948" w:rsidRDefault="00140736" w:rsidP="00140736">
      <w:pPr>
        <w:spacing w:line="24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Następnie pracownik Biura Obsługi Interesanta lub pracownicy Ochrony pomogą i ułatwią przemieszczanie się wewnątrz budynku. </w:t>
      </w:r>
    </w:p>
    <w:p w:rsidR="00140736" w:rsidRPr="00A76948" w:rsidRDefault="00140736" w:rsidP="00140736">
      <w:pPr>
        <w:spacing w:line="24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Nad wejściem nie ma głośników systemu naprowadzającego dźwiękowo osoby niewidome i słabowidzące. </w:t>
      </w:r>
    </w:p>
    <w:p w:rsidR="00140736" w:rsidRDefault="00140736" w:rsidP="00140736">
      <w:pPr>
        <w:spacing w:line="24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Za drzwiami </w:t>
      </w:r>
      <w:r>
        <w:rPr>
          <w:rFonts w:cstheme="minorHAnsi"/>
          <w:sz w:val="24"/>
          <w:szCs w:val="24"/>
        </w:rPr>
        <w:t>wejścia głównego (drzwi rozsuwane)</w:t>
      </w:r>
      <w:r w:rsidRPr="00A76948">
        <w:rPr>
          <w:rFonts w:cstheme="minorHAnsi"/>
          <w:sz w:val="24"/>
          <w:szCs w:val="24"/>
        </w:rPr>
        <w:t xml:space="preserve"> jest nieduży wiatrołap</w:t>
      </w:r>
      <w:r>
        <w:rPr>
          <w:rFonts w:cstheme="minorHAnsi"/>
          <w:sz w:val="24"/>
          <w:szCs w:val="24"/>
        </w:rPr>
        <w:t xml:space="preserve"> </w:t>
      </w:r>
      <w:r w:rsidRPr="00A76948">
        <w:rPr>
          <w:rFonts w:cstheme="minorHAnsi"/>
          <w:sz w:val="24"/>
          <w:szCs w:val="24"/>
        </w:rPr>
        <w:t>za którym znajdują się kolejne drzwi</w:t>
      </w:r>
      <w:r>
        <w:rPr>
          <w:rFonts w:cstheme="minorHAnsi"/>
          <w:sz w:val="24"/>
          <w:szCs w:val="24"/>
        </w:rPr>
        <w:t xml:space="preserve"> (drzwi rozsuwane)</w:t>
      </w:r>
      <w:r w:rsidRPr="00A7694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za nimi znajduje się </w:t>
      </w:r>
      <w:r w:rsidRPr="0032730B">
        <w:rPr>
          <w:rFonts w:cstheme="minorHAnsi"/>
          <w:sz w:val="24"/>
          <w:szCs w:val="24"/>
        </w:rPr>
        <w:t>bramka do wykrywania metalu, prześwietlarka bagażu, gdzie uzyskuje się dostęp do parteru budynku</w:t>
      </w:r>
      <w:r>
        <w:rPr>
          <w:rFonts w:cstheme="minorHAnsi"/>
          <w:sz w:val="24"/>
          <w:szCs w:val="24"/>
        </w:rPr>
        <w:t xml:space="preserve"> (segment A).</w:t>
      </w:r>
      <w:r w:rsidRPr="00A76948">
        <w:rPr>
          <w:rFonts w:cstheme="minorHAnsi"/>
          <w:sz w:val="24"/>
          <w:szCs w:val="24"/>
        </w:rPr>
        <w:t xml:space="preserve"> </w:t>
      </w:r>
      <w:r w:rsidRPr="0032730B">
        <w:rPr>
          <w:rFonts w:cstheme="minorHAnsi"/>
          <w:sz w:val="24"/>
          <w:szCs w:val="24"/>
        </w:rPr>
        <w:t xml:space="preserve">Po prawej stronie znajduje się </w:t>
      </w:r>
      <w:r>
        <w:rPr>
          <w:rFonts w:cstheme="minorHAnsi"/>
          <w:sz w:val="24"/>
          <w:szCs w:val="24"/>
        </w:rPr>
        <w:t xml:space="preserve">Ogólne Biuro Podawcze oraz Biuro Podawcze X Wydziału Gospodarczego Rejestru Zastawów, XII Wydziału Gospodarczego Krajowego Rejestru Sądowego  oraz IX Wydziału Ksiąg Wieczystych. Po lewej stronie od wejścia znajduje się szatnia, kasy sądu oraz punkt usługowy z drobnym asortymentem jak słodycze i napoje, w którym </w:t>
      </w:r>
      <w:r w:rsidR="00F5792F">
        <w:rPr>
          <w:rFonts w:cstheme="minorHAnsi"/>
          <w:sz w:val="24"/>
          <w:szCs w:val="24"/>
        </w:rPr>
        <w:t xml:space="preserve">także </w:t>
      </w:r>
      <w:r w:rsidRPr="003E0F69">
        <w:rPr>
          <w:rFonts w:cstheme="minorHAnsi"/>
          <w:sz w:val="24"/>
          <w:szCs w:val="24"/>
        </w:rPr>
        <w:t>można powielić niezbędne dokumenty.</w:t>
      </w:r>
      <w:r>
        <w:rPr>
          <w:rFonts w:cstheme="minorHAnsi"/>
          <w:sz w:val="24"/>
          <w:szCs w:val="24"/>
        </w:rPr>
        <w:t xml:space="preserve">  W dalszej części znajdują się sale rozpraw (segment B). Na wprost od wejścia</w:t>
      </w:r>
      <w:r w:rsidRPr="00A769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pomiędzy windami </w:t>
      </w:r>
      <w:r w:rsidRPr="0032730B">
        <w:rPr>
          <w:rFonts w:cstheme="minorHAnsi"/>
          <w:sz w:val="24"/>
          <w:szCs w:val="24"/>
        </w:rPr>
        <w:t>znajduje się Biuro Obsługi Interesanta</w:t>
      </w:r>
      <w:r>
        <w:rPr>
          <w:rFonts w:cstheme="minorHAnsi"/>
          <w:sz w:val="24"/>
          <w:szCs w:val="24"/>
        </w:rPr>
        <w:t xml:space="preserve"> (segment C). Wymienione biura oraz kasy posiadają kierunkowe p</w:t>
      </w:r>
      <w:r w:rsidRPr="0032730B">
        <w:rPr>
          <w:rFonts w:cstheme="minorHAnsi"/>
          <w:sz w:val="24"/>
          <w:szCs w:val="24"/>
        </w:rPr>
        <w:t>ętl</w:t>
      </w:r>
      <w:r>
        <w:rPr>
          <w:rFonts w:cstheme="minorHAnsi"/>
          <w:sz w:val="24"/>
          <w:szCs w:val="24"/>
        </w:rPr>
        <w:t>e</w:t>
      </w:r>
      <w:r w:rsidRPr="0032730B">
        <w:rPr>
          <w:rFonts w:cstheme="minorHAnsi"/>
          <w:sz w:val="24"/>
          <w:szCs w:val="24"/>
        </w:rPr>
        <w:t xml:space="preserve"> indukcyjn</w:t>
      </w:r>
      <w:r>
        <w:rPr>
          <w:rFonts w:cstheme="minorHAnsi"/>
          <w:sz w:val="24"/>
          <w:szCs w:val="24"/>
        </w:rPr>
        <w:t>e</w:t>
      </w:r>
      <w:r w:rsidRPr="003273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komunikacji.</w:t>
      </w:r>
      <w:r w:rsidR="00F5792F">
        <w:rPr>
          <w:rFonts w:cstheme="minorHAnsi"/>
          <w:sz w:val="24"/>
          <w:szCs w:val="24"/>
        </w:rPr>
        <w:t xml:space="preserve"> Po prawej stronie od głównego wejścia znajduje się obszerna informacja dotycząca lokalizacji Sekretariatów Wydziałów, sal rozpraw. </w:t>
      </w:r>
    </w:p>
    <w:p w:rsidR="00140736" w:rsidRDefault="00140736" w:rsidP="0014073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Na wyższe kondygnacje budynku można dostać się poprzez dwie </w:t>
      </w:r>
      <w:r w:rsidRPr="00A76948">
        <w:rPr>
          <w:rFonts w:cstheme="minorHAnsi"/>
          <w:sz w:val="24"/>
          <w:szCs w:val="24"/>
        </w:rPr>
        <w:t>wind</w:t>
      </w:r>
      <w:r>
        <w:rPr>
          <w:rFonts w:cstheme="minorHAnsi"/>
          <w:sz w:val="24"/>
          <w:szCs w:val="24"/>
        </w:rPr>
        <w:t>y</w:t>
      </w:r>
      <w:r w:rsidRPr="00A76948">
        <w:rPr>
          <w:rFonts w:cstheme="minorHAnsi"/>
          <w:sz w:val="24"/>
          <w:szCs w:val="24"/>
        </w:rPr>
        <w:t>, uzyskuj</w:t>
      </w:r>
      <w:r>
        <w:rPr>
          <w:rFonts w:cstheme="minorHAnsi"/>
          <w:sz w:val="24"/>
          <w:szCs w:val="24"/>
        </w:rPr>
        <w:t>ąc</w:t>
      </w:r>
      <w:r w:rsidRPr="00A76948">
        <w:rPr>
          <w:rFonts w:cstheme="minorHAnsi"/>
          <w:sz w:val="24"/>
          <w:szCs w:val="24"/>
        </w:rPr>
        <w:t xml:space="preserve"> dostęp</w:t>
      </w:r>
      <w:r>
        <w:rPr>
          <w:rFonts w:cstheme="minorHAnsi"/>
          <w:sz w:val="24"/>
          <w:szCs w:val="24"/>
        </w:rPr>
        <w:t>:</w:t>
      </w:r>
    </w:p>
    <w:p w:rsidR="00140736" w:rsidRDefault="00140736" w:rsidP="00140736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</w:t>
      </w:r>
      <w:r w:rsidRPr="0032730B">
        <w:rPr>
          <w:rFonts w:cstheme="minorHAnsi"/>
          <w:sz w:val="24"/>
          <w:szCs w:val="24"/>
        </w:rPr>
        <w:t>piwnicy (-1)</w:t>
      </w:r>
      <w:r>
        <w:rPr>
          <w:rFonts w:cstheme="minorHAnsi"/>
          <w:sz w:val="24"/>
          <w:szCs w:val="24"/>
        </w:rPr>
        <w:t xml:space="preserve">, w </w:t>
      </w:r>
      <w:r w:rsidRPr="0032730B">
        <w:rPr>
          <w:rFonts w:cstheme="minorHAnsi"/>
          <w:sz w:val="24"/>
          <w:szCs w:val="24"/>
        </w:rPr>
        <w:t>któr</w:t>
      </w:r>
      <w:r>
        <w:rPr>
          <w:rFonts w:cstheme="minorHAnsi"/>
          <w:sz w:val="24"/>
          <w:szCs w:val="24"/>
        </w:rPr>
        <w:t>ej</w:t>
      </w:r>
      <w:r w:rsidRPr="0032730B">
        <w:rPr>
          <w:rFonts w:cstheme="minorHAnsi"/>
          <w:sz w:val="24"/>
          <w:szCs w:val="24"/>
        </w:rPr>
        <w:t xml:space="preserve"> znajduje się bufet</w:t>
      </w:r>
      <w:r w:rsidR="00E2608A">
        <w:rPr>
          <w:rFonts w:cstheme="minorHAnsi"/>
          <w:sz w:val="24"/>
          <w:szCs w:val="24"/>
        </w:rPr>
        <w:t xml:space="preserve"> (winda po lewej</w:t>
      </w:r>
      <w:r w:rsidR="009D4AD2">
        <w:rPr>
          <w:rFonts w:cstheme="minorHAnsi"/>
          <w:sz w:val="24"/>
          <w:szCs w:val="24"/>
        </w:rPr>
        <w:t xml:space="preserve"> </w:t>
      </w:r>
      <w:r w:rsidR="00E2608A">
        <w:rPr>
          <w:rFonts w:cstheme="minorHAnsi"/>
          <w:sz w:val="24"/>
          <w:szCs w:val="24"/>
        </w:rPr>
        <w:t>stronie)</w:t>
      </w:r>
      <w:r w:rsidR="009D4AD2">
        <w:rPr>
          <w:rFonts w:cstheme="minorHAnsi"/>
          <w:sz w:val="24"/>
          <w:szCs w:val="24"/>
        </w:rPr>
        <w:t>,</w:t>
      </w:r>
    </w:p>
    <w:p w:rsidR="00140736" w:rsidRDefault="00140736" w:rsidP="00140736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</w:t>
      </w:r>
      <w:r w:rsidRPr="0032730B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 xml:space="preserve">piętro budynku, na którym znajdują się </w:t>
      </w:r>
      <w:r w:rsidRPr="0032730B">
        <w:rPr>
          <w:rFonts w:cstheme="minorHAnsi"/>
          <w:sz w:val="24"/>
          <w:szCs w:val="24"/>
        </w:rPr>
        <w:t>Czytelnia Akt</w:t>
      </w:r>
      <w:r>
        <w:rPr>
          <w:rFonts w:cstheme="minorHAnsi"/>
          <w:sz w:val="24"/>
          <w:szCs w:val="24"/>
        </w:rPr>
        <w:t xml:space="preserve"> po stronie prawej po wyjściu z windy (segment A) oraz po obu stronach sale rozpraw (segment A, B. E). Czytelnia </w:t>
      </w:r>
      <w:r w:rsidR="009D4AD2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kt posiada kierunkową p</w:t>
      </w:r>
      <w:r w:rsidRPr="0032730B">
        <w:rPr>
          <w:rFonts w:cstheme="minorHAnsi"/>
          <w:sz w:val="24"/>
          <w:szCs w:val="24"/>
        </w:rPr>
        <w:t>ętl</w:t>
      </w:r>
      <w:r>
        <w:rPr>
          <w:rFonts w:cstheme="minorHAnsi"/>
          <w:sz w:val="24"/>
          <w:szCs w:val="24"/>
        </w:rPr>
        <w:t>ę</w:t>
      </w:r>
      <w:r w:rsidRPr="0032730B">
        <w:rPr>
          <w:rFonts w:cstheme="minorHAnsi"/>
          <w:sz w:val="24"/>
          <w:szCs w:val="24"/>
        </w:rPr>
        <w:t xml:space="preserve"> indukcyjnych </w:t>
      </w:r>
      <w:r>
        <w:rPr>
          <w:rFonts w:cstheme="minorHAnsi"/>
          <w:sz w:val="24"/>
          <w:szCs w:val="24"/>
        </w:rPr>
        <w:t>do komunikacji.</w:t>
      </w:r>
    </w:p>
    <w:p w:rsidR="00140736" w:rsidRDefault="00140736" w:rsidP="00140736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</w:t>
      </w:r>
      <w:r w:rsidRPr="0032730B">
        <w:rPr>
          <w:rFonts w:cstheme="minorHAnsi"/>
          <w:sz w:val="24"/>
          <w:szCs w:val="24"/>
        </w:rPr>
        <w:t>II piętr</w:t>
      </w:r>
      <w:r>
        <w:rPr>
          <w:rFonts w:cstheme="minorHAnsi"/>
          <w:sz w:val="24"/>
          <w:szCs w:val="24"/>
        </w:rPr>
        <w:t>o</w:t>
      </w:r>
      <w:r w:rsidRPr="0032730B">
        <w:rPr>
          <w:rFonts w:cstheme="minorHAnsi"/>
          <w:sz w:val="24"/>
          <w:szCs w:val="24"/>
        </w:rPr>
        <w:t xml:space="preserve"> budynku</w:t>
      </w:r>
      <w:r>
        <w:rPr>
          <w:rFonts w:cstheme="minorHAnsi"/>
          <w:sz w:val="24"/>
          <w:szCs w:val="24"/>
        </w:rPr>
        <w:t>,</w:t>
      </w:r>
      <w:r w:rsidRPr="00577FF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 którym znajdują się sale rozpraw (segment A oraz przylegające do niego segment B, E).</w:t>
      </w:r>
    </w:p>
    <w:p w:rsidR="00140736" w:rsidRDefault="00140736" w:rsidP="00140736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</w:t>
      </w:r>
      <w:r w:rsidRPr="0032730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V</w:t>
      </w:r>
      <w:r w:rsidRPr="0032730B">
        <w:rPr>
          <w:rFonts w:cstheme="minorHAnsi"/>
          <w:sz w:val="24"/>
          <w:szCs w:val="24"/>
        </w:rPr>
        <w:t xml:space="preserve"> piętr</w:t>
      </w:r>
      <w:r>
        <w:rPr>
          <w:rFonts w:cstheme="minorHAnsi"/>
          <w:sz w:val="24"/>
          <w:szCs w:val="24"/>
        </w:rPr>
        <w:t>o</w:t>
      </w:r>
      <w:r w:rsidRPr="0032730B">
        <w:rPr>
          <w:rFonts w:cstheme="minorHAnsi"/>
          <w:sz w:val="24"/>
          <w:szCs w:val="24"/>
        </w:rPr>
        <w:t xml:space="preserve"> budynku</w:t>
      </w:r>
      <w:r>
        <w:rPr>
          <w:rFonts w:cstheme="minorHAnsi"/>
          <w:sz w:val="24"/>
          <w:szCs w:val="24"/>
        </w:rPr>
        <w:t>,</w:t>
      </w:r>
      <w:r w:rsidRPr="00577FF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 którym znajdują się sale rozpraw po obu stronach (segment B, E).</w:t>
      </w:r>
    </w:p>
    <w:p w:rsidR="00140736" w:rsidRPr="0032730B" w:rsidRDefault="00140736" w:rsidP="0014073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Windy wyposażone są w automatycznie przesuwne drzwi. Wewnątrz posiadają system głosowy. Komunikat jest ogłaszany przed otwarciem drzwi kabiny. Wewnątrz i na zewnątrz windy wyposażone są w przyciski z opisem w a</w:t>
      </w:r>
      <w:r w:rsidRPr="00350F78">
        <w:rPr>
          <w:rFonts w:cstheme="minorHAnsi"/>
          <w:sz w:val="24"/>
          <w:szCs w:val="24"/>
        </w:rPr>
        <w:t>lfabe</w:t>
      </w:r>
      <w:r>
        <w:rPr>
          <w:rFonts w:cstheme="minorHAnsi"/>
          <w:sz w:val="24"/>
          <w:szCs w:val="24"/>
        </w:rPr>
        <w:t>cie</w:t>
      </w:r>
      <w:r w:rsidRPr="00350F78">
        <w:rPr>
          <w:rFonts w:cstheme="minorHAnsi"/>
          <w:sz w:val="24"/>
          <w:szCs w:val="24"/>
        </w:rPr>
        <w:t xml:space="preserve"> Braille’a</w:t>
      </w:r>
      <w:r>
        <w:rPr>
          <w:rFonts w:cstheme="minorHAnsi"/>
          <w:sz w:val="24"/>
          <w:szCs w:val="24"/>
        </w:rPr>
        <w:t xml:space="preserve">.  </w:t>
      </w:r>
    </w:p>
    <w:p w:rsidR="00140736" w:rsidRPr="00A76948" w:rsidRDefault="00140736" w:rsidP="00140736">
      <w:pPr>
        <w:spacing w:line="24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>Toalet</w:t>
      </w:r>
      <w:r>
        <w:rPr>
          <w:rFonts w:cstheme="minorHAnsi"/>
          <w:sz w:val="24"/>
          <w:szCs w:val="24"/>
        </w:rPr>
        <w:t>y</w:t>
      </w:r>
      <w:r w:rsidRPr="00A76948">
        <w:rPr>
          <w:rFonts w:cstheme="minorHAnsi"/>
          <w:sz w:val="24"/>
          <w:szCs w:val="24"/>
        </w:rPr>
        <w:t xml:space="preserve"> dla osób niepełnosprawnych znajduj</w:t>
      </w:r>
      <w:r>
        <w:rPr>
          <w:rFonts w:cstheme="minorHAnsi"/>
          <w:sz w:val="24"/>
          <w:szCs w:val="24"/>
        </w:rPr>
        <w:t>ą</w:t>
      </w:r>
      <w:r w:rsidRPr="00A76948">
        <w:rPr>
          <w:rFonts w:cstheme="minorHAnsi"/>
          <w:sz w:val="24"/>
          <w:szCs w:val="24"/>
        </w:rPr>
        <w:t xml:space="preserve"> się na parterze</w:t>
      </w:r>
      <w:r>
        <w:rPr>
          <w:rFonts w:cstheme="minorHAnsi"/>
          <w:sz w:val="24"/>
          <w:szCs w:val="24"/>
        </w:rPr>
        <w:t xml:space="preserve"> oraz I i III piętrze (segment A)</w:t>
      </w:r>
      <w:r w:rsidRPr="00A76948">
        <w:rPr>
          <w:rFonts w:cstheme="minorHAnsi"/>
          <w:sz w:val="24"/>
          <w:szCs w:val="24"/>
        </w:rPr>
        <w:t xml:space="preserve">. </w:t>
      </w:r>
    </w:p>
    <w:p w:rsidR="00140736" w:rsidRPr="00A76948" w:rsidRDefault="00140736" w:rsidP="00140736">
      <w:pPr>
        <w:spacing w:line="24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Szerokość korytarzy oraz schodów budynku sądu pozwala na swobodne poruszanie się osób z dysfunkcjami ruchowymi. Dla osób poruszających się na wózkach inwalidzkich dostępność pomieszczeń oraz korytarzy dotyczy wszystkich kondygnacji budynku. </w:t>
      </w:r>
    </w:p>
    <w:p w:rsidR="00140736" w:rsidRPr="00A76948" w:rsidRDefault="00140736" w:rsidP="00140736">
      <w:pPr>
        <w:spacing w:line="24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Do budynku i wszystkich jego  pomieszczeń można wejść z psem asystującym i psem przewodnikiem. </w:t>
      </w:r>
    </w:p>
    <w:p w:rsidR="00140736" w:rsidRPr="00A76948" w:rsidRDefault="00140736" w:rsidP="00140736">
      <w:pPr>
        <w:spacing w:line="24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W budynku nie ma oznaczeń w alfabecie </w:t>
      </w:r>
      <w:r w:rsidRPr="00350F78">
        <w:rPr>
          <w:rFonts w:cstheme="minorHAnsi"/>
          <w:sz w:val="24"/>
          <w:szCs w:val="24"/>
        </w:rPr>
        <w:t>Braille’a</w:t>
      </w:r>
      <w:r w:rsidRPr="00A769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(poza windami) </w:t>
      </w:r>
      <w:r w:rsidRPr="00A76948">
        <w:rPr>
          <w:rFonts w:cstheme="minorHAnsi"/>
          <w:sz w:val="24"/>
          <w:szCs w:val="24"/>
        </w:rPr>
        <w:t xml:space="preserve">ani oznaczeń kontrastowych lub w druku powiększonym dla osób niewidomych i słabowidzących. </w:t>
      </w:r>
    </w:p>
    <w:p w:rsidR="00140736" w:rsidRPr="00A76948" w:rsidRDefault="00140736" w:rsidP="00140736">
      <w:pPr>
        <w:spacing w:line="240" w:lineRule="auto"/>
        <w:jc w:val="both"/>
        <w:rPr>
          <w:rFonts w:cstheme="minorHAnsi"/>
          <w:sz w:val="24"/>
          <w:szCs w:val="24"/>
        </w:rPr>
      </w:pPr>
      <w:r w:rsidRPr="00A76948">
        <w:rPr>
          <w:rFonts w:cstheme="minorHAnsi"/>
          <w:sz w:val="24"/>
          <w:szCs w:val="24"/>
        </w:rPr>
        <w:t xml:space="preserve">Wszyscy pracownicy Sądu mają obowiązek okazania wszelkiej pomocy osobie niepełnosprawnej. </w:t>
      </w:r>
    </w:p>
    <w:p w:rsidR="004F2135" w:rsidRPr="004F2135" w:rsidRDefault="004F2135" w:rsidP="004F2135">
      <w:pPr>
        <w:spacing w:line="240" w:lineRule="auto"/>
        <w:jc w:val="both"/>
        <w:rPr>
          <w:rFonts w:cstheme="minorHAnsi"/>
          <w:color w:val="303030"/>
          <w:sz w:val="24"/>
          <w:szCs w:val="24"/>
        </w:rPr>
      </w:pPr>
      <w:r w:rsidRPr="004F2135">
        <w:rPr>
          <w:rFonts w:cstheme="minorHAnsi"/>
          <w:sz w:val="24"/>
          <w:szCs w:val="24"/>
        </w:rPr>
        <w:t>W Sądzie Rejonowym w Białymstoku jest możliwość skorzystania z usług tłumacza języka migowego, wskazanego z Polskiego Związku Głuchych w Białymstoku, po uprzednim zgłoszeniu</w:t>
      </w:r>
      <w:r>
        <w:rPr>
          <w:rFonts w:cstheme="minorHAnsi"/>
          <w:sz w:val="24"/>
          <w:szCs w:val="24"/>
        </w:rPr>
        <w:t xml:space="preserve"> wizyty</w:t>
      </w:r>
      <w:r w:rsidRPr="004F2135">
        <w:rPr>
          <w:rFonts w:cstheme="minorHAnsi"/>
          <w:sz w:val="24"/>
          <w:szCs w:val="24"/>
        </w:rPr>
        <w:t xml:space="preserve"> </w:t>
      </w:r>
      <w:r w:rsidRPr="004F2135">
        <w:rPr>
          <w:rFonts w:cstheme="minorHAnsi"/>
          <w:color w:val="303030"/>
          <w:sz w:val="24"/>
          <w:szCs w:val="24"/>
        </w:rPr>
        <w:t>co najmniej trzy dni robocze przed zdarzeniem w Biurze Obsługi Interesanta Sądu Rejonowego w Białymstoku: tel.: 85 665 65 10,  fax: 85 665 63 33, e-mail: </w:t>
      </w:r>
      <w:hyperlink r:id="rId10" w:tooltip="Wyślij email do boi@bialystok.sr.gov.pl" w:history="1">
        <w:r w:rsidRPr="004F2135">
          <w:rPr>
            <w:rStyle w:val="Hipercze"/>
            <w:rFonts w:cstheme="minorHAnsi"/>
            <w:color w:val="1D5184"/>
            <w:sz w:val="24"/>
            <w:szCs w:val="24"/>
          </w:rPr>
          <w:t>boi@bialystok.sr.gov.pl</w:t>
        </w:r>
      </w:hyperlink>
      <w:r w:rsidR="009D4AD2">
        <w:rPr>
          <w:rStyle w:val="Hipercze"/>
          <w:rFonts w:cstheme="minorHAnsi"/>
          <w:color w:val="1D5184"/>
          <w:sz w:val="24"/>
          <w:szCs w:val="24"/>
        </w:rPr>
        <w:t xml:space="preserve"> </w:t>
      </w:r>
    </w:p>
    <w:p w:rsidR="004F2135" w:rsidRPr="00A76948" w:rsidRDefault="004F2135" w:rsidP="004231E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6C7703" w:rsidRPr="00A76948" w:rsidRDefault="006C7703" w:rsidP="00A76948">
      <w:pPr>
        <w:spacing w:line="360" w:lineRule="auto"/>
        <w:rPr>
          <w:rFonts w:cstheme="minorHAnsi"/>
          <w:sz w:val="24"/>
          <w:szCs w:val="24"/>
        </w:rPr>
      </w:pPr>
    </w:p>
    <w:sectPr w:rsidR="006C7703" w:rsidRPr="00A76948" w:rsidSect="004F21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11" w:rsidRDefault="00B01011" w:rsidP="006C3929">
      <w:pPr>
        <w:spacing w:after="0" w:line="240" w:lineRule="auto"/>
      </w:pPr>
      <w:r>
        <w:separator/>
      </w:r>
    </w:p>
  </w:endnote>
  <w:endnote w:type="continuationSeparator" w:id="0">
    <w:p w:rsidR="00B01011" w:rsidRDefault="00B01011" w:rsidP="006C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99" w:rsidRDefault="005959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99" w:rsidRDefault="005959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99" w:rsidRDefault="00595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11" w:rsidRDefault="00B01011" w:rsidP="006C3929">
      <w:pPr>
        <w:spacing w:after="0" w:line="240" w:lineRule="auto"/>
      </w:pPr>
      <w:r>
        <w:separator/>
      </w:r>
    </w:p>
  </w:footnote>
  <w:footnote w:type="continuationSeparator" w:id="0">
    <w:p w:rsidR="00B01011" w:rsidRDefault="00B01011" w:rsidP="006C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99" w:rsidRDefault="005959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99" w:rsidRDefault="005959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99" w:rsidRDefault="005959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35B"/>
    <w:multiLevelType w:val="hybridMultilevel"/>
    <w:tmpl w:val="A90A6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38C"/>
    <w:multiLevelType w:val="hybridMultilevel"/>
    <w:tmpl w:val="5AB8B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70DB"/>
    <w:multiLevelType w:val="multilevel"/>
    <w:tmpl w:val="A596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40373"/>
    <w:multiLevelType w:val="multilevel"/>
    <w:tmpl w:val="E7CE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6023B"/>
    <w:multiLevelType w:val="hybridMultilevel"/>
    <w:tmpl w:val="9A263B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DE6951"/>
    <w:multiLevelType w:val="hybridMultilevel"/>
    <w:tmpl w:val="4A88D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5D76"/>
    <w:multiLevelType w:val="multilevel"/>
    <w:tmpl w:val="73EE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1B38EA"/>
    <w:multiLevelType w:val="hybridMultilevel"/>
    <w:tmpl w:val="87C03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E05EA"/>
    <w:multiLevelType w:val="hybridMultilevel"/>
    <w:tmpl w:val="26B2F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D1D4A"/>
    <w:multiLevelType w:val="hybridMultilevel"/>
    <w:tmpl w:val="ED628D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4D501F9"/>
    <w:multiLevelType w:val="multilevel"/>
    <w:tmpl w:val="92D0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F10C7C"/>
    <w:multiLevelType w:val="multilevel"/>
    <w:tmpl w:val="5732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E9343D"/>
    <w:multiLevelType w:val="multilevel"/>
    <w:tmpl w:val="8900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3E6359"/>
    <w:multiLevelType w:val="hybridMultilevel"/>
    <w:tmpl w:val="14B0E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31255"/>
    <w:multiLevelType w:val="hybridMultilevel"/>
    <w:tmpl w:val="1436B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DE"/>
    <w:rsid w:val="0000798B"/>
    <w:rsid w:val="00031CB1"/>
    <w:rsid w:val="0004167C"/>
    <w:rsid w:val="000549FF"/>
    <w:rsid w:val="00074363"/>
    <w:rsid w:val="00075ADE"/>
    <w:rsid w:val="000B2224"/>
    <w:rsid w:val="000B4BAE"/>
    <w:rsid w:val="000C0D3F"/>
    <w:rsid w:val="00120383"/>
    <w:rsid w:val="00140736"/>
    <w:rsid w:val="00157496"/>
    <w:rsid w:val="00167559"/>
    <w:rsid w:val="001A72E5"/>
    <w:rsid w:val="001B2EF8"/>
    <w:rsid w:val="001F090F"/>
    <w:rsid w:val="002271E3"/>
    <w:rsid w:val="002874A4"/>
    <w:rsid w:val="00293235"/>
    <w:rsid w:val="002C3AFD"/>
    <w:rsid w:val="002D6769"/>
    <w:rsid w:val="002E387C"/>
    <w:rsid w:val="00342D0E"/>
    <w:rsid w:val="00395F82"/>
    <w:rsid w:val="003A3529"/>
    <w:rsid w:val="003B0743"/>
    <w:rsid w:val="003B6829"/>
    <w:rsid w:val="0041353B"/>
    <w:rsid w:val="004231E3"/>
    <w:rsid w:val="00455327"/>
    <w:rsid w:val="00465D61"/>
    <w:rsid w:val="0046724F"/>
    <w:rsid w:val="004B7D97"/>
    <w:rsid w:val="004C5311"/>
    <w:rsid w:val="004F2135"/>
    <w:rsid w:val="004F7A95"/>
    <w:rsid w:val="005049CC"/>
    <w:rsid w:val="00562DDC"/>
    <w:rsid w:val="00595999"/>
    <w:rsid w:val="0060630B"/>
    <w:rsid w:val="00614476"/>
    <w:rsid w:val="006A41E7"/>
    <w:rsid w:val="006A5497"/>
    <w:rsid w:val="006B5B9F"/>
    <w:rsid w:val="006C3929"/>
    <w:rsid w:val="006C5E54"/>
    <w:rsid w:val="006C7703"/>
    <w:rsid w:val="006E29B9"/>
    <w:rsid w:val="0070274D"/>
    <w:rsid w:val="0071001D"/>
    <w:rsid w:val="00752C0D"/>
    <w:rsid w:val="007554CB"/>
    <w:rsid w:val="007A5709"/>
    <w:rsid w:val="007D1570"/>
    <w:rsid w:val="007D503E"/>
    <w:rsid w:val="00844E0F"/>
    <w:rsid w:val="00864776"/>
    <w:rsid w:val="008F004A"/>
    <w:rsid w:val="008F0808"/>
    <w:rsid w:val="00900BC4"/>
    <w:rsid w:val="00905E3E"/>
    <w:rsid w:val="00934CFD"/>
    <w:rsid w:val="00993FB2"/>
    <w:rsid w:val="0099654A"/>
    <w:rsid w:val="009A65A3"/>
    <w:rsid w:val="009D4AD2"/>
    <w:rsid w:val="009D5947"/>
    <w:rsid w:val="009E1D98"/>
    <w:rsid w:val="009E2DC0"/>
    <w:rsid w:val="009F7732"/>
    <w:rsid w:val="00A13C97"/>
    <w:rsid w:val="00A22261"/>
    <w:rsid w:val="00A3735B"/>
    <w:rsid w:val="00A41559"/>
    <w:rsid w:val="00A42A56"/>
    <w:rsid w:val="00A76948"/>
    <w:rsid w:val="00AB4279"/>
    <w:rsid w:val="00AC305F"/>
    <w:rsid w:val="00B01011"/>
    <w:rsid w:val="00B04018"/>
    <w:rsid w:val="00B45F55"/>
    <w:rsid w:val="00B54335"/>
    <w:rsid w:val="00B84117"/>
    <w:rsid w:val="00B9773E"/>
    <w:rsid w:val="00BA0275"/>
    <w:rsid w:val="00BB130E"/>
    <w:rsid w:val="00BE4F52"/>
    <w:rsid w:val="00C027C9"/>
    <w:rsid w:val="00C12F99"/>
    <w:rsid w:val="00C25A7E"/>
    <w:rsid w:val="00C42843"/>
    <w:rsid w:val="00C8468B"/>
    <w:rsid w:val="00CB4BDF"/>
    <w:rsid w:val="00CE4BCA"/>
    <w:rsid w:val="00CE782A"/>
    <w:rsid w:val="00CF0FE9"/>
    <w:rsid w:val="00D47B6E"/>
    <w:rsid w:val="00D47F08"/>
    <w:rsid w:val="00D5440C"/>
    <w:rsid w:val="00D644E7"/>
    <w:rsid w:val="00D839A8"/>
    <w:rsid w:val="00D86D65"/>
    <w:rsid w:val="00DC12CA"/>
    <w:rsid w:val="00DC1717"/>
    <w:rsid w:val="00DE1F8A"/>
    <w:rsid w:val="00E05875"/>
    <w:rsid w:val="00E2608A"/>
    <w:rsid w:val="00E37443"/>
    <w:rsid w:val="00E905EE"/>
    <w:rsid w:val="00ED1DB0"/>
    <w:rsid w:val="00EF2BD3"/>
    <w:rsid w:val="00EF5EB3"/>
    <w:rsid w:val="00F13B50"/>
    <w:rsid w:val="00F233C9"/>
    <w:rsid w:val="00F5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26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63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9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9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3929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654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F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999"/>
  </w:style>
  <w:style w:type="paragraph" w:styleId="Stopka">
    <w:name w:val="footer"/>
    <w:basedOn w:val="Normalny"/>
    <w:link w:val="StopkaZnak"/>
    <w:uiPriority w:val="99"/>
    <w:unhideWhenUsed/>
    <w:rsid w:val="0059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kiezel@bialystok.sa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alystok.sr.gov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oi@bialystok.s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a@bialystok.sr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2022-03-25T13:42:00Z</dcterms:created>
  <dcterms:modified xsi:type="dcterms:W3CDTF">2022-03-25T13:42:00Z</dcterms:modified>
</cp:coreProperties>
</file>