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CF23DE" w:rsidRDefault="00CF23DE" w:rsidP="00CF2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o udzielenie zamówienia publicznego na jednorazową naprawę i konserwację systemu oświetlenia ewakuacyjnego w budynku Sądu Rejonowego w Białymstoku.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CF23DE" w:rsidRPr="00CF23DE" w:rsidRDefault="00CF23DE" w:rsidP="00CF2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ogłoszenia w Biuletynie Zamówień Publicznych </w:t>
      </w:r>
      <w:r w:rsidR="004E24B5" w:rsidRPr="004E24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614591-N-2018</w:t>
      </w:r>
    </w:p>
    <w:p w:rsid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zamieszczenia ogłoszenia w Biuletynie Zamówień Publicznych: 2018-09-10</w:t>
      </w:r>
    </w:p>
    <w:p w:rsid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Postępowanie o udzielenie zamówienia publicznego na jednorazową naprawę i konserwację systemu oświetlenia ewakuacyjnego w budynku Sądu Rejonowego w Białymstoku.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000321299, ul. Mickiewicza  103 , 15-950   Białystok, woj. podlaskie, państwo Polska, tel. 85 665 62 22, , e-mail og@bialystok.sr.gov.pl, , faks 856 656 405.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www.bialystok.sr.gov.pl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F23D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www.bialystok.sr.gov.pl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załącznikami.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Mickiewicza 103, 15-950 Białystok, pokój C403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o udzielenie zamówienia publicznego na jednorazową naprawę i konserwację systemu oświetlenia ewakuacyjnego w budynku Sądu Rejonowego w Białymstoku.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Numer referencyjny: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G-3710-6/18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F23DE" w:rsidRPr="00CF23DE" w:rsidRDefault="00CF23DE" w:rsidP="00CF23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jednorazowa naprawa i konserwacja systemu oświetlenia ewakuacyjnego w budynku Sądu Rejonowego w Białymstoku opartego na autonomicznych oprawach oświetleniowych z modułami 3h do systemu ES-CTI objętych monitoringiem przez centralę ES-CTI. 2. W skład systemu ES-CTI, w Sądzie Rejonowym w Białymstoku, wchodzą: 1) Jednostka Centralna CTI (874801) 1 szt. 2) Multiplekser MPX8 (874902) 2 szt. 3) interfejs CTI (875001) 13 szt. 4) oprawy oświetlenia ewakuacyjnego z modułami (łącznie 526 szt.)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45316000-5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A6114B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1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45311100-1</w:t>
            </w:r>
          </w:p>
        </w:tc>
      </w:tr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A6114B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14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45311200-2</w:t>
            </w:r>
          </w:p>
        </w:tc>
      </w:tr>
    </w:tbl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2018-12-28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2018-12-28</w:t>
            </w:r>
          </w:p>
        </w:tc>
      </w:tr>
    </w:tbl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II.9) Informacje dodatkowe: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60 dni od dnia podpisania umowy, nie później niż do 28 grudnia 2018 r.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Brak wymagań w tym zakresie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Brak wymagań w tym zakresie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uzna, że Wykonawca spełnił ten warunek, jeżeli udokumentuje doświadczenie w wykonywaniu, a w przypadku świadczeń okresowych lub ciągłych również wykonywanie głównych usług,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dowodów, czy zostały wykonane lub są wykonywane należycie. Zamawiający informuje, że pod pojęciem „głównych usług” należy rozumieć wykonanie: minimum jednej usługi instalacji lub konserwacji, przynajmniej jednego centralnie zarządzanego systemu oświetlenia ewakuacyjnego zawierającego minimum 300 opraw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Pzp)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Pzp)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dotyczące braku podstaw do wykluczenia z postępowania. Odpis z właściwego rejestru lub centralnej ewidencji i informacji o działalności gospodarczej, jeżeli odrębne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przepisy wymagają wpisu do rejestru lub ewidencji, w celu potwierdzenia braku podstaw wykluczenia na podstawie art. 24 ust. 5 pkt 1 ustawy Prawo Zamówień Publicznych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Wykaz wykonanych, a w przypadku świadczeń okresowych lub ciągłych również wykonywanych głównych usług, w okresie ostatnich trzech lat przed upływem terminu składania ofert, a jeżeli okres prowadzenia działalności jest krótszy – w tym okresie, wraz z podaniem ich wartości, przedmiotu, dat wykonania i podmiotów, na rzecz których usługi zostały wykonane oraz załączeniem dowodów, czy zostały wykonane lub są wykonywane należycie – wzór wykazu stanowi Załącznik nr 6 do SIWZ. Zamawiający uzna, że wykonawca spełnił warunek opisany w pkt V.1.3) siwz jeżeli wykonawca udokumentuje wykonywanie minimum jednej usługi instalacji lub konserwacji, przynajmniej jednego centralnie zarządzanego systemu oświetlenia ewakuacyjnego zawierającego minimum 300 opraw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wypełniony i podpisany przez Wykonawcę Załącznik nr 2 do SIWZ - Formularz Ofertowy. 2) jeżeli osobą podpisującą nie jest osoba wskazana w dokumencie wymienionym w pkt VI.4.2): oryginał lub poświadczona notarialnie kopia pełnomocnictwa do podpisywania oferty,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IV.2.1) Kryteria oceny ofert: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2"/>
        <w:gridCol w:w="1016"/>
      </w:tblGrid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F23DE" w:rsidRPr="00CF23DE" w:rsidTr="00CF2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gwarancji na elementy wymienione (w latach)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F23D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Istotne dla stron postanowienia, które zostaną wprowadzone do treści zawieranej umowy w sprawie zamówienia publicznego, albo ogólne warunki umowy, albo wzór umowy: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zabezpieczenia należytego wykonania umowy: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</w:t>
      </w: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Zamawiający dopuszcza możliwość zmiany istotnych postanowień zawartej umowy w stosunku do treści oferty, na podstawie której dokonano wyboru Wykonawcy w zakresie: 1) Zmian danych Wykonawcy (np. zmiana siedziby, nazwy, itp.) lub zmian wynikających z przekształcenia podmiotowego po stronie Wykonawcy, np. sukcesji uniwersalnej; 2) Zmiany podwykonawców (jeżeli dotyczy); 3) Zmiany ceny –w przypadku zmian obowiązujących stawek VAT lub wprowadzenia nowych podatków w stopniu wynikającym z tych zmian. 2. Zmiana postanowień umowy może nastąpić wyłącznie za zgodą obu stron, wyrażoną w formie pisemnego aneksu pod rygorem nieważności.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F23D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Data: 2018-09-1</w:t>
      </w:r>
      <w:r w:rsidR="004E24B5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godzina: 12:00,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język polski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F23D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F23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3DE" w:rsidRPr="00CF23DE" w:rsidRDefault="00CF23DE" w:rsidP="00CF2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3DE" w:rsidRDefault="00CF23DE" w:rsidP="00CF23DE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Sądu Rejonowego</w:t>
      </w:r>
    </w:p>
    <w:p w:rsidR="00CF23DE" w:rsidRDefault="00CF23DE" w:rsidP="00CF23DE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Białymstoku</w:t>
      </w:r>
    </w:p>
    <w:p w:rsidR="00CF23DE" w:rsidRDefault="00CF23DE" w:rsidP="00CF23DE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3DE" w:rsidRPr="00CF23DE" w:rsidRDefault="00CF23DE" w:rsidP="00CF23DE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Elżbieta Roszkowska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2"/>
      </w:tblGrid>
      <w:tr w:rsidR="00CF23DE" w:rsidRPr="00CF23DE" w:rsidTr="00CF23DE">
        <w:trPr>
          <w:tblCellSpacing w:w="15" w:type="dxa"/>
        </w:trPr>
        <w:tc>
          <w:tcPr>
            <w:tcW w:w="1250" w:type="pct"/>
            <w:vAlign w:val="center"/>
            <w:hideMark/>
          </w:tcPr>
          <w:p w:rsidR="00CF23DE" w:rsidRPr="00CF23DE" w:rsidRDefault="00CF23DE" w:rsidP="00C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C2F5E" w:rsidRDefault="005C2F5E" w:rsidP="00CF23DE">
      <w:pPr>
        <w:spacing w:after="0" w:line="240" w:lineRule="auto"/>
      </w:pPr>
    </w:p>
    <w:sectPr w:rsidR="005C2F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156" w:rsidRDefault="00847156" w:rsidP="00CE1BD2">
      <w:pPr>
        <w:spacing w:after="0" w:line="240" w:lineRule="auto"/>
      </w:pPr>
      <w:r>
        <w:separator/>
      </w:r>
    </w:p>
  </w:endnote>
  <w:endnote w:type="continuationSeparator" w:id="0">
    <w:p w:rsidR="00847156" w:rsidRDefault="00847156" w:rsidP="00CE1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BD2" w:rsidRDefault="00CE1B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BD2" w:rsidRDefault="00CE1B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BD2" w:rsidRDefault="00CE1B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156" w:rsidRDefault="00847156" w:rsidP="00CE1BD2">
      <w:pPr>
        <w:spacing w:after="0" w:line="240" w:lineRule="auto"/>
      </w:pPr>
      <w:r>
        <w:separator/>
      </w:r>
    </w:p>
  </w:footnote>
  <w:footnote w:type="continuationSeparator" w:id="0">
    <w:p w:rsidR="00847156" w:rsidRDefault="00847156" w:rsidP="00CE1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BD2" w:rsidRDefault="00CE1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BD2" w:rsidRDefault="00CE1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BD2" w:rsidRDefault="00CE1B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3DE"/>
    <w:rsid w:val="004E24B5"/>
    <w:rsid w:val="005C2F5E"/>
    <w:rsid w:val="00847156"/>
    <w:rsid w:val="00A6114B"/>
    <w:rsid w:val="00A7231B"/>
    <w:rsid w:val="00CE1BD2"/>
    <w:rsid w:val="00CF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1B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1BD2"/>
  </w:style>
  <w:style w:type="paragraph" w:styleId="Stopka">
    <w:name w:val="footer"/>
    <w:basedOn w:val="Normalny"/>
    <w:link w:val="StopkaZnak"/>
    <w:uiPriority w:val="99"/>
    <w:unhideWhenUsed/>
    <w:rsid w:val="00CE1B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1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46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4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00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7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57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0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41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80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54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98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996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752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9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69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57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50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44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63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452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9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1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617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823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835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53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28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35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63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33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60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0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87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37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79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54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69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75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2827</Words>
  <Characters>16967</Characters>
  <Application>Microsoft Office Word</Application>
  <DocSecurity>0</DocSecurity>
  <Lines>141</Lines>
  <Paragraphs>39</Paragraphs>
  <ScaleCrop>false</ScaleCrop>
  <Company/>
  <LinksUpToDate>false</LinksUpToDate>
  <CharactersWithSpaces>19755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2020-07-13T09:11:00Z</dcterms:created>
  <dcterms:modified xsi:type="dcterms:W3CDTF">2020-07-13T09:11:00Z</dcterms:modified>
</cp:coreProperties>
</file>