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A94EDB" w:rsidRPr="00A94EDB">
        <w:rPr>
          <w:lang w:eastAsia="pl-PL"/>
        </w:rPr>
        <w:t xml:space="preserve"> </w:t>
      </w:r>
      <w:r w:rsidR="00A94EDB" w:rsidRPr="00A94EDB">
        <w:rPr>
          <w:lang w:eastAsia="pl-PL"/>
        </w:rPr>
        <w:fldChar w:fldCharType="begin"/>
      </w:r>
      <w:r w:rsidR="00A94EDB" w:rsidRPr="00A94EDB">
        <w:rPr>
          <w:lang w:eastAsia="pl-PL"/>
        </w:rPr>
        <w:instrText xml:space="preserve"> TIME \@ "d MMMM yyyy" </w:instrText>
      </w:r>
      <w:r w:rsidR="00A94EDB" w:rsidRPr="00A94EDB">
        <w:rPr>
          <w:lang w:eastAsia="pl-PL"/>
        </w:rPr>
        <w:fldChar w:fldCharType="separate"/>
      </w:r>
      <w:r w:rsidR="00135BBB">
        <w:rPr>
          <w:noProof/>
          <w:lang w:eastAsia="pl-PL"/>
        </w:rPr>
        <w:t>13 lipca 2020</w:t>
      </w:r>
      <w:r w:rsidR="00A94EDB" w:rsidRPr="00A94EDB">
        <w:rPr>
          <w:lang w:eastAsia="pl-PL"/>
        </w:rPr>
        <w:fldChar w:fldCharType="end"/>
      </w:r>
      <w:r w:rsidR="00A94EDB">
        <w:rPr>
          <w:lang w:eastAsia="pl-PL"/>
        </w:rPr>
        <w:t xml:space="preserve"> </w:t>
      </w:r>
      <w:r w:rsidR="00EF2B54" w:rsidRPr="00EF2B54">
        <w:rPr>
          <w:lang w:eastAsia="pl-PL"/>
        </w:rPr>
        <w:t xml:space="preserve">roku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proofErr w:type="spellStart"/>
      <w:r w:rsidRPr="008D2C4C">
        <w:t>ul</w:t>
      </w:r>
      <w:proofErr w:type="spellEnd"/>
      <w:r w:rsidRPr="008D2C4C">
        <w:t xml:space="preserve">. </w:t>
      </w:r>
      <w:proofErr w:type="spellStart"/>
      <w:r w:rsidRPr="008D2C4C">
        <w:t>Mickiewicza</w:t>
      </w:r>
      <w:proofErr w:type="spellEnd"/>
      <w:r w:rsidRPr="008D2C4C">
        <w:t xml:space="preserve">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BD17E1" w:rsidRPr="008D2C4C" w:rsidRDefault="00BD17E1" w:rsidP="008D2C4C">
      <w:pPr>
        <w:pStyle w:val="Adresat"/>
      </w:pPr>
    </w:p>
    <w:p w:rsidR="00EF2B54" w:rsidRDefault="00EF2B54" w:rsidP="008D2C4C">
      <w:pPr>
        <w:pStyle w:val="Dyrektornagwek"/>
      </w:pPr>
      <w:r w:rsidRPr="00EF2B54">
        <w:t>Nr</w:t>
      </w:r>
      <w:r w:rsidR="00475760">
        <w:t xml:space="preserve"> </w:t>
      </w:r>
      <w:r w:rsidR="00BD17E1" w:rsidRPr="00221FE3">
        <w:t>G-3710-4/18</w:t>
      </w:r>
    </w:p>
    <w:p w:rsidR="00BD17E1" w:rsidRPr="00EF2B54" w:rsidRDefault="00BD17E1" w:rsidP="008D2C4C">
      <w:pPr>
        <w:pStyle w:val="Dyrektornagwek"/>
      </w:pPr>
    </w:p>
    <w:p w:rsidR="00221FE3" w:rsidRPr="00221FE3" w:rsidRDefault="00221FE3" w:rsidP="00221FE3">
      <w:pPr>
        <w:pStyle w:val="Adresat"/>
      </w:pPr>
      <w:r w:rsidRPr="00221FE3">
        <w:t>Uczestnicy postępowania</w:t>
      </w:r>
    </w:p>
    <w:p w:rsidR="00C12438" w:rsidRPr="00C12438" w:rsidRDefault="00C12438" w:rsidP="008D2C4C">
      <w:pPr>
        <w:pStyle w:val="Trepisma"/>
      </w:pPr>
    </w:p>
    <w:p w:rsidR="00BD17E1" w:rsidRDefault="00221FE3" w:rsidP="00BD17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FE3">
        <w:rPr>
          <w:rFonts w:ascii="Times New Roman" w:eastAsia="Times New Roman" w:hAnsi="Times New Roman" w:cs="Times New Roman"/>
          <w:b/>
          <w:lang w:eastAsia="pl-PL"/>
        </w:rPr>
        <w:t>Dotyczy:</w:t>
      </w:r>
      <w:r w:rsidR="00BD17E1">
        <w:rPr>
          <w:rFonts w:ascii="Times New Roman" w:eastAsia="Times New Roman" w:hAnsi="Times New Roman" w:cs="Times New Roman"/>
          <w:b/>
          <w:lang w:eastAsia="pl-PL"/>
        </w:rPr>
        <w:tab/>
      </w:r>
      <w:r w:rsidRPr="00221FE3">
        <w:rPr>
          <w:rFonts w:ascii="Times New Roman" w:eastAsia="Times New Roman" w:hAnsi="Times New Roman" w:cs="Times New Roman"/>
          <w:b/>
          <w:lang w:eastAsia="pl-PL"/>
        </w:rPr>
        <w:t xml:space="preserve">Wyjaśnienie treści </w:t>
      </w:r>
      <w:proofErr w:type="spellStart"/>
      <w:r w:rsidRPr="00221FE3">
        <w:rPr>
          <w:rFonts w:ascii="Times New Roman" w:eastAsia="Times New Roman" w:hAnsi="Times New Roman" w:cs="Times New Roman"/>
          <w:b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D14671">
        <w:rPr>
          <w:rFonts w:ascii="Times New Roman" w:eastAsia="Times New Roman" w:hAnsi="Times New Roman" w:cs="Times New Roman"/>
          <w:b/>
          <w:lang w:eastAsia="pl-PL"/>
        </w:rPr>
        <w:t xml:space="preserve">Modyfikacja treści </w:t>
      </w:r>
      <w:proofErr w:type="spellStart"/>
      <w:r w:rsidR="00D14671">
        <w:rPr>
          <w:rFonts w:ascii="Times New Roman" w:eastAsia="Times New Roman" w:hAnsi="Times New Roman" w:cs="Times New Roman"/>
          <w:b/>
          <w:lang w:eastAsia="pl-PL"/>
        </w:rPr>
        <w:t>siwz</w:t>
      </w:r>
      <w:proofErr w:type="spellEnd"/>
      <w:r w:rsidR="00D1467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21FE3" w:rsidRPr="00221FE3" w:rsidRDefault="00BD17E1" w:rsidP="00BD17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Postępowanie o udzie</w:t>
      </w:r>
      <w:r>
        <w:rPr>
          <w:rFonts w:ascii="Times New Roman" w:eastAsia="Times New Roman" w:hAnsi="Times New Roman" w:cs="Times New Roman"/>
          <w:b/>
          <w:lang w:eastAsia="pl-PL"/>
        </w:rPr>
        <w:t>lenie zamówienia publicznego na </w:t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świadczenie usług w zakresie wykonywania prac porządkowo-czystościowych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 </w:t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obiekcie Sądu Rejonowego w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Białymstoku</w:t>
      </w:r>
      <w:r w:rsidR="00221FE3">
        <w:rPr>
          <w:rFonts w:ascii="Times New Roman" w:eastAsia="Times New Roman" w:hAnsi="Times New Roman" w:cs="Times New Roman"/>
          <w:b/>
          <w:lang w:eastAsia="pl-PL"/>
        </w:rPr>
        <w:t xml:space="preserve">. Nr postępowania </w:t>
      </w:r>
      <w:r w:rsidR="00221FE3" w:rsidRPr="00221FE3">
        <w:rPr>
          <w:rFonts w:ascii="Times New Roman" w:eastAsia="Times New Roman" w:hAnsi="Times New Roman" w:cs="Times New Roman"/>
          <w:b/>
          <w:lang w:eastAsia="pl-PL"/>
        </w:rPr>
        <w:t>G-3710-4/18</w:t>
      </w:r>
      <w:r w:rsidR="00221FE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21FE3" w:rsidRPr="00221FE3" w:rsidRDefault="00221FE3" w:rsidP="00221FE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12438" w:rsidRDefault="00221FE3" w:rsidP="00221FE3">
      <w:pPr>
        <w:pStyle w:val="Trepisma"/>
        <w:jc w:val="both"/>
      </w:pPr>
      <w:r>
        <w:tab/>
        <w:t>Działając na podstawie art. 38 ust. 2 ustawy Prawo zamówień publicznych (</w:t>
      </w:r>
      <w:proofErr w:type="spellStart"/>
      <w:r>
        <w:t>t.j</w:t>
      </w:r>
      <w:proofErr w:type="spellEnd"/>
      <w:r>
        <w:t>. </w:t>
      </w:r>
      <w:r w:rsidRPr="00221FE3">
        <w:t>Dz.U.</w:t>
      </w:r>
      <w:r w:rsidR="00BD17E1">
        <w:t xml:space="preserve"> z </w:t>
      </w:r>
      <w:r w:rsidRPr="00221FE3">
        <w:t>2017 r. poz. 1579</w:t>
      </w:r>
      <w:r w:rsidR="00BD17E1">
        <w:t xml:space="preserve"> z </w:t>
      </w:r>
      <w:proofErr w:type="spellStart"/>
      <w:r>
        <w:t>późn</w:t>
      </w:r>
      <w:proofErr w:type="spellEnd"/>
      <w:r>
        <w:t xml:space="preserve">. zm.) poniżej przekazuję treść zapytań o wyjaśnienie treści </w:t>
      </w:r>
      <w:proofErr w:type="spellStart"/>
      <w:r>
        <w:t>siwz</w:t>
      </w:r>
      <w:proofErr w:type="spellEnd"/>
      <w:r>
        <w:t xml:space="preserve"> wraz</w:t>
      </w:r>
      <w:r w:rsidR="00BD17E1">
        <w:t xml:space="preserve"> z </w:t>
      </w:r>
      <w:r>
        <w:t>odpowiedziami.</w:t>
      </w:r>
    </w:p>
    <w:p w:rsidR="00221FE3" w:rsidRPr="00AA2406" w:rsidRDefault="00221FE3" w:rsidP="00221FE3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>Pytanie 1.</w:t>
      </w:r>
    </w:p>
    <w:p w:rsidR="00221FE3" w:rsidRDefault="00D14671" w:rsidP="00221FE3">
      <w:pPr>
        <w:pStyle w:val="Trepisma"/>
        <w:jc w:val="both"/>
      </w:pPr>
      <w:r>
        <w:tab/>
      </w:r>
      <w:r w:rsidR="00221FE3">
        <w:t>Czy zamawiający akceptuje wystawianie</w:t>
      </w:r>
      <w:r w:rsidR="00BD17E1">
        <w:t xml:space="preserve"> i </w:t>
      </w:r>
      <w:r w:rsidR="00221FE3">
        <w:t>dostarczanie w formie elektronicznej, w formacie PDF: faktur, faktur korygujących oraz duplikatów faktur, zgodnie</w:t>
      </w:r>
      <w:r w:rsidR="00BD17E1">
        <w:t xml:space="preserve"> z </w:t>
      </w:r>
      <w:r w:rsidR="00221FE3">
        <w:t>art. 106n ustawy</w:t>
      </w:r>
      <w:r w:rsidR="00BD17E1">
        <w:t xml:space="preserve"> z </w:t>
      </w:r>
      <w:r w:rsidR="00221FE3">
        <w:t>dnia 11 marca 2004 r. o podatku od towarów</w:t>
      </w:r>
      <w:r w:rsidR="00BD17E1">
        <w:t xml:space="preserve"> i </w:t>
      </w:r>
      <w:r w:rsidR="00221FE3">
        <w:t>usług (tj.</w:t>
      </w:r>
      <w:r w:rsidR="00BD17E1">
        <w:t> </w:t>
      </w:r>
      <w:r w:rsidR="00221FE3">
        <w:t>Dz.U.</w:t>
      </w:r>
      <w:r w:rsidR="00BD17E1">
        <w:t xml:space="preserve"> z </w:t>
      </w:r>
      <w:r w:rsidR="00221FE3">
        <w:t>2016 r., Nr 710,</w:t>
      </w:r>
      <w:r w:rsidR="00BD17E1">
        <w:t xml:space="preserve"> z </w:t>
      </w:r>
      <w:proofErr w:type="spellStart"/>
      <w:r w:rsidR="00221FE3">
        <w:t>późn</w:t>
      </w:r>
      <w:proofErr w:type="spellEnd"/>
      <w:r w:rsidR="00221FE3">
        <w:t>. zm.)?</w:t>
      </w:r>
      <w:r w:rsidR="00AA2406">
        <w:t xml:space="preserve"> </w:t>
      </w:r>
      <w:r w:rsidR="00221FE3">
        <w:t>Jeżeli tak, to bardzo proszę o modyfikację wzorca umowy w zakresie sposobu rozliczania się</w:t>
      </w:r>
      <w:r w:rsidR="00BD17E1">
        <w:t xml:space="preserve"> z </w:t>
      </w:r>
      <w:r w:rsidR="00221FE3">
        <w:t>wykonanej usługi poprzez dodanie następujących zapisów:</w:t>
      </w:r>
    </w:p>
    <w:p w:rsidR="00221FE3" w:rsidRPr="00AA2406" w:rsidRDefault="00221FE3" w:rsidP="00D1467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AA2406">
        <w:rPr>
          <w:i/>
        </w:rPr>
        <w:t>1.</w:t>
      </w:r>
      <w:r w:rsidRPr="00AA2406">
        <w:rPr>
          <w:i/>
        </w:rPr>
        <w:tab/>
        <w:t>Strony akceptują wystawianie</w:t>
      </w:r>
      <w:r w:rsidR="00BD17E1">
        <w:rPr>
          <w:i/>
        </w:rPr>
        <w:t xml:space="preserve"> i </w:t>
      </w:r>
      <w:r w:rsidRPr="00AA2406">
        <w:rPr>
          <w:i/>
        </w:rPr>
        <w:t>dostarczanie w formie elektronicznej, w formacie PDF: faktur, faktur korygujących oraz duplikatów faktur, zgodnie</w:t>
      </w:r>
      <w:r w:rsidR="00BD17E1">
        <w:rPr>
          <w:i/>
        </w:rPr>
        <w:t xml:space="preserve"> z </w:t>
      </w:r>
      <w:r w:rsidRPr="00AA2406">
        <w:rPr>
          <w:i/>
        </w:rPr>
        <w:t>art. 106n ustawy</w:t>
      </w:r>
      <w:r w:rsidR="00BD17E1">
        <w:rPr>
          <w:i/>
        </w:rPr>
        <w:t xml:space="preserve"> z </w:t>
      </w:r>
      <w:r w:rsidRPr="00AA2406">
        <w:rPr>
          <w:i/>
        </w:rPr>
        <w:t>dnia 11 marca 2004 r. o podatku od towarów</w:t>
      </w:r>
      <w:r w:rsidR="00BD17E1">
        <w:rPr>
          <w:i/>
        </w:rPr>
        <w:t xml:space="preserve"> i </w:t>
      </w:r>
      <w:r w:rsidRPr="00AA2406">
        <w:rPr>
          <w:i/>
        </w:rPr>
        <w:t>usług (tj. Dz.U.</w:t>
      </w:r>
      <w:r w:rsidR="00BD17E1">
        <w:rPr>
          <w:i/>
        </w:rPr>
        <w:t xml:space="preserve"> z </w:t>
      </w:r>
      <w:r w:rsidRPr="00AA2406">
        <w:rPr>
          <w:i/>
        </w:rPr>
        <w:t>2016 r., Nr 710,</w:t>
      </w:r>
      <w:r w:rsidR="00BD17E1">
        <w:rPr>
          <w:i/>
        </w:rPr>
        <w:t xml:space="preserve"> z </w:t>
      </w:r>
      <w:proofErr w:type="spellStart"/>
      <w:r w:rsidRPr="00AA2406">
        <w:rPr>
          <w:i/>
        </w:rPr>
        <w:t>późn</w:t>
      </w:r>
      <w:proofErr w:type="spellEnd"/>
      <w:r w:rsidRPr="00AA2406">
        <w:rPr>
          <w:i/>
        </w:rPr>
        <w:t>. zm.).</w:t>
      </w:r>
    </w:p>
    <w:p w:rsidR="00221FE3" w:rsidRPr="00AA2406" w:rsidRDefault="00221FE3" w:rsidP="00D1467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AA2406">
        <w:rPr>
          <w:i/>
        </w:rPr>
        <w:t>2.</w:t>
      </w:r>
      <w:r w:rsidRPr="00AA2406">
        <w:rPr>
          <w:i/>
        </w:rPr>
        <w:tab/>
        <w:t>Faktury elektroniczne  będą Zamawiającemu wysyłane na adres e</w:t>
      </w:r>
      <w:r w:rsidR="00BD17E1">
        <w:rPr>
          <w:i/>
        </w:rPr>
        <w:noBreakHyphen/>
      </w:r>
      <w:r w:rsidRPr="00AA2406">
        <w:rPr>
          <w:i/>
        </w:rPr>
        <w:t xml:space="preserve">mail: </w:t>
      </w:r>
      <w:r w:rsidR="00D14671">
        <w:rPr>
          <w:i/>
        </w:rPr>
        <w:t>…….</w:t>
      </w:r>
    </w:p>
    <w:p w:rsidR="00221FE3" w:rsidRDefault="00221FE3" w:rsidP="00D14671">
      <w:pPr>
        <w:pStyle w:val="Trepisma"/>
        <w:spacing w:line="240" w:lineRule="auto"/>
        <w:ind w:left="426" w:right="284" w:hanging="284"/>
        <w:jc w:val="both"/>
        <w:rPr>
          <w:i/>
        </w:rPr>
      </w:pPr>
      <w:r w:rsidRPr="00AA2406">
        <w:rPr>
          <w:i/>
        </w:rPr>
        <w:t>3.</w:t>
      </w:r>
      <w:r w:rsidRPr="00AA2406">
        <w:rPr>
          <w:i/>
        </w:rPr>
        <w:tab/>
        <w:t>Zamawiający zobowiązuje si</w:t>
      </w:r>
      <w:r w:rsidR="00BD17E1">
        <w:rPr>
          <w:i/>
        </w:rPr>
        <w:t>ę do poinformowania Wykonawcy o </w:t>
      </w:r>
      <w:r w:rsidRPr="00AA2406">
        <w:rPr>
          <w:i/>
        </w:rPr>
        <w:t>każdorazowej zmianie ww. adresu mailowego</w:t>
      </w:r>
    </w:p>
    <w:p w:rsidR="00AA2406" w:rsidRPr="00AA2406" w:rsidRDefault="00AA2406" w:rsidP="00AA2406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Odpowiedź:</w:t>
      </w:r>
    </w:p>
    <w:p w:rsidR="00AA2406" w:rsidRDefault="004A0D36" w:rsidP="00AA2406">
      <w:pPr>
        <w:pStyle w:val="Trepisma"/>
        <w:ind w:right="283"/>
        <w:jc w:val="both"/>
      </w:pPr>
      <w:r>
        <w:t xml:space="preserve">Do czasu wprowadzenia </w:t>
      </w:r>
      <w:r w:rsidR="00E53EFE">
        <w:t xml:space="preserve">do systemu prawnego </w:t>
      </w:r>
      <w:r>
        <w:t xml:space="preserve">uregulowań </w:t>
      </w:r>
      <w:r w:rsidR="00E53EFE">
        <w:t>dotyczących konieczności przyj</w:t>
      </w:r>
      <w:r w:rsidR="000713DA">
        <w:t xml:space="preserve">mowania faktur elektronicznych, Zamawiający żąda dostarczania faktur w sposób opisany w </w:t>
      </w:r>
      <w:proofErr w:type="spellStart"/>
      <w:r w:rsidR="000713DA">
        <w:t>siwz</w:t>
      </w:r>
      <w:proofErr w:type="spellEnd"/>
      <w:r w:rsidR="000713DA">
        <w:t>.</w:t>
      </w:r>
    </w:p>
    <w:p w:rsidR="00AA2406" w:rsidRDefault="00AA2406" w:rsidP="00AA2406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 xml:space="preserve">Pytanie </w:t>
      </w:r>
      <w:r>
        <w:rPr>
          <w:b/>
          <w:u w:val="single"/>
        </w:rPr>
        <w:t>2</w:t>
      </w:r>
      <w:r w:rsidRPr="00AA2406">
        <w:rPr>
          <w:b/>
          <w:u w:val="single"/>
        </w:rPr>
        <w:t>.</w:t>
      </w:r>
    </w:p>
    <w:p w:rsidR="00AA2406" w:rsidRPr="00AA2406" w:rsidRDefault="00D14671" w:rsidP="00BD17E1">
      <w:pPr>
        <w:pStyle w:val="Trepisma"/>
        <w:spacing w:after="80"/>
        <w:jc w:val="both"/>
      </w:pPr>
      <w:r>
        <w:tab/>
      </w:r>
      <w:r w:rsidR="00AA2406" w:rsidRPr="00AA2406">
        <w:t>Mając na uwadze treść wzoru umowy wnoszę o zmianę o 50% wysokości kar umownych zastrzeżonych w powyższych przepisach</w:t>
      </w:r>
    </w:p>
    <w:p w:rsidR="00AA2406" w:rsidRDefault="00AA2406" w:rsidP="00BD17E1">
      <w:pPr>
        <w:pStyle w:val="Trepisma"/>
        <w:spacing w:after="80"/>
        <w:jc w:val="both"/>
      </w:pPr>
      <w:r w:rsidRPr="00AA2406">
        <w:t>W doktrynie prawa zamówień publicznych oraz w aktualnym orzecznictwie Krajowej Izby Odwoławczej przy Prezesie Urzędu Zamówień Publicznych dominuje pogl</w:t>
      </w:r>
      <w:r w:rsidR="00BD17E1">
        <w:t xml:space="preserve">ąd, </w:t>
      </w:r>
      <w:r w:rsidR="00BD17E1">
        <w:lastRenderedPageBreak/>
        <w:t>że </w:t>
      </w:r>
      <w:r w:rsidRPr="00AA2406">
        <w:t>ustanawianie przez zamawiającego w umowie rażąco wysokich kar umownych uznać należy bezwzględnie za naruszenie zasad zachowania uczciwej konkurencji wyrażonej w przepisie art. 7 ustawy</w:t>
      </w:r>
      <w:r w:rsidR="00BD17E1">
        <w:t xml:space="preserve"> z </w:t>
      </w:r>
      <w:r w:rsidRPr="00AA2406">
        <w:t>dnia 29 stycznia 2004 r. prawo zamówień publicznych (tekst jednolity Dz. U.</w:t>
      </w:r>
      <w:r w:rsidR="00BD17E1">
        <w:t xml:space="preserve"> z </w:t>
      </w:r>
      <w:r w:rsidRPr="00AA2406">
        <w:t>2006 roku, nr 164, poz. 1163</w:t>
      </w:r>
      <w:r w:rsidR="00BD17E1">
        <w:t xml:space="preserve"> z </w:t>
      </w:r>
      <w:proofErr w:type="spellStart"/>
      <w:r w:rsidRPr="00AA2406">
        <w:t>późn</w:t>
      </w:r>
      <w:proofErr w:type="spellEnd"/>
      <w:r w:rsidRPr="00AA2406">
        <w:t>. zm.), które może być uzasadnioną podstawą</w:t>
      </w:r>
      <w:r w:rsidR="00BD17E1">
        <w:t xml:space="preserve"> do </w:t>
      </w:r>
      <w:r w:rsidRPr="00AA2406">
        <w:t>żądania unieważnienia postępowania o udzielenie zamówienia publicznego w trybie art. 93 ust. 1 pkt. 7 ustawy prawo zamówień publicznych</w:t>
      </w:r>
      <w:r w:rsidR="00BD17E1">
        <w:t xml:space="preserve"> z </w:t>
      </w:r>
      <w:r w:rsidRPr="00AA2406">
        <w:t>uwagi, iż postępowanie jest obarczone wadą uniemożliwiającą zawarcie ważnej umowy w sprawie zamówienia publicznego. Stanowisko powyższe znajduje pełne potwierdzenie m.in. wyroku Krajowej Izby Odwoławczej</w:t>
      </w:r>
      <w:r w:rsidR="00BD17E1">
        <w:t xml:space="preserve"> z </w:t>
      </w:r>
      <w:r w:rsidRPr="00AA2406">
        <w:t>dnia 31 lipca 2015 r. sygn. akt: KIO/1519/15. Zważyć bowiem należy,</w:t>
      </w:r>
      <w:r w:rsidR="00BD17E1">
        <w:t xml:space="preserve"> że </w:t>
      </w:r>
      <w:r w:rsidRPr="00AA2406">
        <w:t>kara umowna (odszkodowanie umowne) ze swojej istoty ma charakter wyłącznie odszkodowawczy</w:t>
      </w:r>
      <w:r w:rsidR="00BD17E1">
        <w:t xml:space="preserve"> i </w:t>
      </w:r>
      <w:r w:rsidRPr="00AA2406">
        <w:t> kompensacyjny, a nie zaś prewencyjny. Ustalenie przez Zamawiającego zbyt wygórowanych kar umownych dla wykonawców stanowi zatem bezspornie rażące naruszenie prawa w zakresie równości stron umowy, co w konsekwencji prowadzi</w:t>
      </w:r>
      <w:r w:rsidR="00BD17E1">
        <w:t xml:space="preserve"> do </w:t>
      </w:r>
      <w:r w:rsidRPr="00AA2406">
        <w:t>sprzeczności celu takiej umowy</w:t>
      </w:r>
      <w:r w:rsidR="00BD17E1">
        <w:t xml:space="preserve"> z </w:t>
      </w:r>
      <w:r w:rsidRPr="00AA2406">
        <w:t>zasadami współżycia społecznego</w:t>
      </w:r>
      <w:r w:rsidR="00BD17E1">
        <w:t xml:space="preserve"> i </w:t>
      </w:r>
      <w:r w:rsidRPr="00AA2406">
        <w:t>skutkować winno bezwzględną nieważność czynności prawnej na podstawie przepisu art. 3531 k.c. w związku</w:t>
      </w:r>
      <w:r w:rsidR="00BD17E1">
        <w:t xml:space="preserve"> z </w:t>
      </w:r>
      <w:r w:rsidRPr="00AA2406">
        <w:t>art. 58 § 1 k.c. Należy mieć również na względzie stanowisko Sądu Najwyższego wyrażone w wyroku</w:t>
      </w:r>
      <w:r w:rsidR="00BD17E1">
        <w:t xml:space="preserve"> z </w:t>
      </w:r>
      <w:r w:rsidRPr="00AA2406">
        <w:t>29 listopada 2013 roku Sygn. akt I CSK 124/13, dotyczącego przesłanek miarkowania kar umown</w:t>
      </w:r>
      <w:r w:rsidR="00BD17E1">
        <w:t>ych jako rażąco wygórowanych. W </w:t>
      </w:r>
      <w:r w:rsidRPr="00AA2406">
        <w:t>uzasadnieniu wyroku Sąd wskazał, iż „kara umowna nie może być instrumentem służącym wzbogaceniu wierzyciela, a zatem przy</w:t>
      </w:r>
      <w:r w:rsidR="00BD17E1">
        <w:t>znającym mu korzyść majątkową w </w:t>
      </w:r>
      <w:r w:rsidRPr="00AA2406">
        <w:t>istotny sposób przekraczającą wysokość poniesionej przez wierzyciela szkody. Celem miarkowania kary umownej jest natomiast ochrona równowagi interesów stron</w:t>
      </w:r>
      <w:r w:rsidR="00BD17E1">
        <w:t xml:space="preserve"> i </w:t>
      </w:r>
      <w:r w:rsidRPr="00AA2406">
        <w:t>zapobieżenie nadmiernemu obciążeniu dłużnika oraz niesłusznemu wzbogaceniu wierzyciela”.</w:t>
      </w:r>
    </w:p>
    <w:p w:rsidR="00AA2406" w:rsidRPr="00AA2406" w:rsidRDefault="00AA2406" w:rsidP="00BC34BA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AA2406" w:rsidRDefault="00BC34BA" w:rsidP="00BC34BA">
      <w:pPr>
        <w:pStyle w:val="Trepisma"/>
        <w:jc w:val="both"/>
      </w:pPr>
      <w:r w:rsidRPr="00AA2406">
        <w:t xml:space="preserve">Zamawiający </w:t>
      </w:r>
      <w:r>
        <w:t xml:space="preserve">nie </w:t>
      </w:r>
      <w:r w:rsidRPr="00AA2406">
        <w:t>wyraż</w:t>
      </w:r>
      <w:r>
        <w:t>a</w:t>
      </w:r>
      <w:r w:rsidRPr="00AA2406">
        <w:t xml:space="preserve"> zgod</w:t>
      </w:r>
      <w:r>
        <w:t xml:space="preserve">y. </w:t>
      </w:r>
    </w:p>
    <w:p w:rsidR="00BC34BA" w:rsidRDefault="00BC34BA" w:rsidP="00BC34BA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 xml:space="preserve">Pytanie </w:t>
      </w:r>
      <w:r>
        <w:rPr>
          <w:b/>
          <w:u w:val="single"/>
        </w:rPr>
        <w:t>3</w:t>
      </w:r>
      <w:r w:rsidRPr="00AA2406">
        <w:rPr>
          <w:b/>
          <w:u w:val="single"/>
        </w:rPr>
        <w:t>.</w:t>
      </w:r>
    </w:p>
    <w:p w:rsidR="00BC34BA" w:rsidRDefault="00D14671" w:rsidP="00BD17E1">
      <w:pPr>
        <w:pStyle w:val="Trepisma"/>
        <w:spacing w:after="80"/>
        <w:jc w:val="both"/>
      </w:pPr>
      <w:r>
        <w:tab/>
      </w:r>
      <w:r w:rsidR="00BC34BA">
        <w:t>W związku</w:t>
      </w:r>
      <w:r w:rsidR="00BD17E1">
        <w:t xml:space="preserve"> z </w:t>
      </w:r>
      <w:r w:rsidR="00BC34BA">
        <w:t>tym,</w:t>
      </w:r>
      <w:r w:rsidR="00BD17E1">
        <w:t xml:space="preserve"> że </w:t>
      </w:r>
      <w:r w:rsidR="00BC34BA">
        <w:t>termin realizacji usługi przypa</w:t>
      </w:r>
      <w:r w:rsidR="00BD17E1">
        <w:t>da również na rok 2019 wnoszę o </w:t>
      </w:r>
      <w:r w:rsidR="00BC34BA">
        <w:t>wprowadzenie</w:t>
      </w:r>
      <w:r w:rsidR="00BD17E1">
        <w:t xml:space="preserve"> do </w:t>
      </w:r>
      <w:proofErr w:type="spellStart"/>
      <w:r w:rsidR="00BC34BA">
        <w:t>siwz</w:t>
      </w:r>
      <w:proofErr w:type="spellEnd"/>
      <w:r w:rsidR="00BC34BA">
        <w:t xml:space="preserve"> zapisów precyzujących, iż wartość wynagrodzenia wykonawcy ulega zmianie</w:t>
      </w:r>
      <w:r w:rsidR="00BD17E1">
        <w:t xml:space="preserve"> z </w:t>
      </w:r>
      <w:r w:rsidR="00BC34BA">
        <w:t>dniem zaistnienia zmiany wysokości minimalnego</w:t>
      </w:r>
      <w:r w:rsidR="00BD17E1">
        <w:t xml:space="preserve"> </w:t>
      </w:r>
      <w:r w:rsidR="00BC34BA">
        <w:t>wynagrodzenia za pracę albo wysokości minimalnej s</w:t>
      </w:r>
      <w:r w:rsidR="00BD17E1">
        <w:t>tawki godzinowej, ustalonych na </w:t>
      </w:r>
      <w:r w:rsidR="00BC34BA">
        <w:t>podstawie przepisów ustawy</w:t>
      </w:r>
      <w:r w:rsidR="00BD17E1">
        <w:t xml:space="preserve"> z </w:t>
      </w:r>
      <w:r w:rsidR="00BC34BA">
        <w:t>dnia 10 października 2002 r. o minimalnym wynagrodzeniu za pracę.</w:t>
      </w:r>
    </w:p>
    <w:p w:rsidR="00BC34BA" w:rsidRDefault="00BC34BA" w:rsidP="00BD17E1">
      <w:pPr>
        <w:pStyle w:val="Trepisma"/>
        <w:spacing w:after="80"/>
        <w:jc w:val="both"/>
      </w:pPr>
      <w:r>
        <w:t>Proponowana wyżej zmiana jest nie tylko korzystna dla Zamawiającego, ale pozwala mu też na racjonalne</w:t>
      </w:r>
      <w:r w:rsidR="00BD17E1">
        <w:t xml:space="preserve"> i </w:t>
      </w:r>
      <w:r>
        <w:t>kontrolowane wydatkowanie środków publicznych, a tym samym wpisuje się w podstawowe cele związane</w:t>
      </w:r>
      <w:r w:rsidR="00BD17E1">
        <w:t xml:space="preserve"> z </w:t>
      </w:r>
      <w:r>
        <w:t>dyscypliną finansów publicznych. Ponieważ zmiany minimalnego wynagrodzenia za pracę oraz minimalnej stawki godzinowej ustalane są przez podmiot trzeci w stosunku tak dla Zamawiającego jak</w:t>
      </w:r>
      <w:r w:rsidR="00BD17E1">
        <w:t xml:space="preserve"> i </w:t>
      </w:r>
      <w:r>
        <w:t xml:space="preserve">wykonawców, oczywistym jest, iż mają charakter niezależny od woli stron umowy. </w:t>
      </w:r>
      <w:r>
        <w:lastRenderedPageBreak/>
        <w:t>Brak uwzględnienia proponowanej zmiany w treści projektu umowy łączyć się będzie dla Zamawiającego</w:t>
      </w:r>
      <w:r w:rsidR="00BD17E1">
        <w:t xml:space="preserve"> z </w:t>
      </w:r>
      <w:r>
        <w:t xml:space="preserve">dwoma negatywnymi skutkami. </w:t>
      </w:r>
    </w:p>
    <w:p w:rsidR="00BC34BA" w:rsidRDefault="00BC34BA" w:rsidP="00BD17E1">
      <w:pPr>
        <w:pStyle w:val="Trepisma"/>
        <w:spacing w:after="80"/>
        <w:jc w:val="both"/>
      </w:pPr>
      <w:r>
        <w:t>Po pierwsze wykonawcy mogą oferować wykonanie usług drożej niż to wynika</w:t>
      </w:r>
      <w:r w:rsidR="00BD17E1">
        <w:t xml:space="preserve"> z </w:t>
      </w:r>
      <w:r>
        <w:t>faktycznych kosztów jej świadczenia w momencie składania oferty, po to aby uwzględnić ewentualne zmiany wysokości minimalnego wynagrodzenia lub minimalnej stawki godzinowej w trakcie trwania umowy. Efektem takiej postawy – racjonalnego jednak przedsiębiorcy – jest to, iż Zamawiający od początku umowy niejako „nadpłaca” za ewentualne przyszłe koszty, nie mając pewności, iż wydatkuje posiadane środki w sposób racjonalny</w:t>
      </w:r>
      <w:r w:rsidR="00BD17E1">
        <w:t xml:space="preserve"> i </w:t>
      </w:r>
      <w:r>
        <w:t>gospodarczo uzasadniony. Brak uwzględnienia w projekcie umowy możliwości waloryzacji wynagrodzenia wykonawcy powoduje,</w:t>
      </w:r>
      <w:r w:rsidR="00BD17E1">
        <w:t xml:space="preserve"> że </w:t>
      </w:r>
      <w:r>
        <w:t>kalkulując cenę oferty dla umowy, racjonalny wykonawca uwzględnić musi ewentualne ryzyko wzrostu wysokości minimalnego wynagrodzenia lub minimalnej stawki godzinowej tak, aby zabezpieczyć swój in</w:t>
      </w:r>
      <w:r w:rsidR="00BD17E1">
        <w:t>teres. W rzeczywistości więc to </w:t>
      </w:r>
      <w:r>
        <w:t>Zamawiający zapłaci za ryzyko wkalkulowane przez wykonawcę</w:t>
      </w:r>
      <w:r w:rsidR="00BD17E1">
        <w:t xml:space="preserve"> do </w:t>
      </w:r>
      <w:r>
        <w:t>ceny oferty, które powoduje znaczny jej wzrost, a tym samym zbędne wydatki zamawiającego. Tym samym stanowić ono może zysk wykonawcy</w:t>
      </w:r>
      <w:r w:rsidR="00BD17E1">
        <w:t xml:space="preserve"> i </w:t>
      </w:r>
      <w:r>
        <w:t>nieuzasadniony koszt Zamawiającego, a co za tym idzie, możliwość postawienia Zamawiającemu zarzutu nierzetelnego wydatkowania środków publicznych.</w:t>
      </w:r>
    </w:p>
    <w:p w:rsidR="00BC34BA" w:rsidRDefault="00BC34BA" w:rsidP="00BD17E1">
      <w:pPr>
        <w:pStyle w:val="Trepisma"/>
        <w:spacing w:after="80"/>
        <w:jc w:val="both"/>
      </w:pPr>
      <w:r>
        <w:t>Po drugie – w przypadku gdy wykonawcy nie uwzględnią w proponowanej ofercie skutków zwiększenia minimalnego wynagrodzenia za pracę lub minimalnej stawki godzinowej, Zamawiający otrzymuje w pierwszym okresie realną ofertę, która jednak po kilku miesiącach przestaje być powiązana</w:t>
      </w:r>
      <w:r w:rsidR="00BD17E1">
        <w:t xml:space="preserve"> z </w:t>
      </w:r>
      <w:r>
        <w:t xml:space="preserve">realnymi kosztami ponoszonymi przez wykonawcę. Siłą rzeczy, wykonawca nie będzie w stanie w sposób prawidłowy wykonywać przyjętych na siebie zobowiązań. </w:t>
      </w:r>
    </w:p>
    <w:p w:rsidR="00BC34BA" w:rsidRDefault="00BC34BA" w:rsidP="00BD17E1">
      <w:pPr>
        <w:pStyle w:val="Trepisma"/>
        <w:spacing w:after="80"/>
        <w:jc w:val="both"/>
      </w:pPr>
      <w:r>
        <w:t xml:space="preserve">  Mając na uwadze powyższe, wnioskujemy zatem o modyfikację umowy</w:t>
      </w:r>
      <w:r w:rsidR="00BD17E1">
        <w:t xml:space="preserve"> i </w:t>
      </w:r>
      <w:r>
        <w:t xml:space="preserve"> wprowadzenie</w:t>
      </w:r>
      <w:r w:rsidR="00BD17E1">
        <w:t xml:space="preserve"> do </w:t>
      </w:r>
      <w:r>
        <w:t>wzoru poniższych zapisów:</w:t>
      </w:r>
    </w:p>
    <w:p w:rsidR="00BC34BA" w:rsidRPr="00BC34BA" w:rsidRDefault="00BC34BA" w:rsidP="00BC34BA">
      <w:pPr>
        <w:pStyle w:val="Trepisma"/>
        <w:ind w:right="283"/>
        <w:jc w:val="center"/>
        <w:rPr>
          <w:i/>
        </w:rPr>
      </w:pPr>
      <w:r w:rsidRPr="00BC34BA">
        <w:rPr>
          <w:i/>
        </w:rPr>
        <w:t>[Waloryzacja wynagrodzenia]</w:t>
      </w:r>
    </w:p>
    <w:p w:rsidR="00BC34BA" w:rsidRPr="00BC34BA" w:rsidRDefault="00BC34BA" w:rsidP="00BD17E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BC34BA">
        <w:rPr>
          <w:i/>
        </w:rPr>
        <w:t>1.</w:t>
      </w:r>
      <w:r>
        <w:rPr>
          <w:i/>
        </w:rPr>
        <w:tab/>
      </w:r>
      <w:r w:rsidRPr="00BC34BA">
        <w:rPr>
          <w:i/>
        </w:rPr>
        <w:t>Strony postanawiają, iż dokonają w formie pisemnego aneksu zmiany wynagrodzenia w wypadku wystąpienia którejkolwiek ze zmian przepisów wskazanych w art. 142 ust. 5 ustawy</w:t>
      </w:r>
      <w:r w:rsidR="00BD17E1">
        <w:rPr>
          <w:i/>
        </w:rPr>
        <w:t xml:space="preserve"> z </w:t>
      </w:r>
      <w:r w:rsidRPr="00BC34BA">
        <w:rPr>
          <w:i/>
        </w:rPr>
        <w:t>dnia 29 stycznia 2004 r. Prawo zamówień publicznych, tj. zmiany:</w:t>
      </w:r>
    </w:p>
    <w:p w:rsidR="00BC34BA" w:rsidRPr="00BC34BA" w:rsidRDefault="00BC34BA" w:rsidP="00BD17E1">
      <w:pPr>
        <w:pStyle w:val="Trepisma"/>
        <w:spacing w:after="0" w:line="240" w:lineRule="auto"/>
        <w:ind w:left="709" w:right="284" w:hanging="283"/>
        <w:jc w:val="both"/>
        <w:rPr>
          <w:i/>
        </w:rPr>
      </w:pPr>
      <w:r w:rsidRPr="00BC34BA">
        <w:rPr>
          <w:i/>
        </w:rPr>
        <w:t>a.</w:t>
      </w:r>
      <w:r w:rsidR="00BD17E1">
        <w:rPr>
          <w:i/>
        </w:rPr>
        <w:tab/>
      </w:r>
      <w:r w:rsidRPr="00BC34BA">
        <w:rPr>
          <w:i/>
        </w:rPr>
        <w:t>stawki podatku od towarów</w:t>
      </w:r>
      <w:r w:rsidR="00BD17E1">
        <w:rPr>
          <w:i/>
        </w:rPr>
        <w:t xml:space="preserve"> i </w:t>
      </w:r>
      <w:r w:rsidRPr="00BC34BA">
        <w:rPr>
          <w:i/>
        </w:rPr>
        <w:t>usług,</w:t>
      </w:r>
    </w:p>
    <w:p w:rsidR="00BC34BA" w:rsidRPr="00BC34BA" w:rsidRDefault="00BC34BA" w:rsidP="00BD17E1">
      <w:pPr>
        <w:pStyle w:val="Trepisma"/>
        <w:spacing w:after="0" w:line="240" w:lineRule="auto"/>
        <w:ind w:left="709" w:right="284" w:hanging="283"/>
        <w:jc w:val="both"/>
        <w:rPr>
          <w:i/>
        </w:rPr>
      </w:pPr>
      <w:r w:rsidRPr="00BC34BA">
        <w:rPr>
          <w:i/>
        </w:rPr>
        <w:t>b.</w:t>
      </w:r>
      <w:r w:rsidR="00BD17E1">
        <w:rPr>
          <w:i/>
        </w:rPr>
        <w:tab/>
      </w:r>
      <w:r w:rsidRPr="00BC34BA">
        <w:rPr>
          <w:i/>
        </w:rPr>
        <w:t>wysokości minimalnego wynagrodzenia za pracę albo wysokości minimalnej stawki godzinowej,  ustalonych na podstawie przepisów ustawy</w:t>
      </w:r>
      <w:r w:rsidR="00BD17E1">
        <w:rPr>
          <w:i/>
        </w:rPr>
        <w:t xml:space="preserve"> z </w:t>
      </w:r>
      <w:r w:rsidRPr="00BC34BA">
        <w:rPr>
          <w:i/>
        </w:rPr>
        <w:t>dnia 10 października 2002 r. o minimalnym wynagrodzeniu za pracę,</w:t>
      </w:r>
    </w:p>
    <w:p w:rsidR="00BC34BA" w:rsidRPr="00BC34BA" w:rsidRDefault="00BC34BA" w:rsidP="00BD17E1">
      <w:pPr>
        <w:pStyle w:val="Trepisma"/>
        <w:spacing w:after="0" w:line="240" w:lineRule="auto"/>
        <w:ind w:left="709" w:right="284" w:hanging="283"/>
        <w:jc w:val="both"/>
        <w:rPr>
          <w:i/>
        </w:rPr>
      </w:pPr>
      <w:r w:rsidRPr="00BC34BA">
        <w:rPr>
          <w:i/>
        </w:rPr>
        <w:t>c.</w:t>
      </w:r>
      <w:r w:rsidR="00BD17E1">
        <w:rPr>
          <w:i/>
        </w:rPr>
        <w:tab/>
      </w:r>
      <w:r w:rsidRPr="00BC34BA">
        <w:rPr>
          <w:i/>
        </w:rPr>
        <w:t>zasad podlegania ubezpieczeniom społecznym lub ubezpieczeniu zdrowotnemu lub wysokości stawki składki na ubezpieczenia społeczne lub zdrowotne.</w:t>
      </w:r>
    </w:p>
    <w:p w:rsidR="00BC34BA" w:rsidRPr="00BC34BA" w:rsidRDefault="00BC34BA" w:rsidP="00BD17E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BC34BA">
        <w:rPr>
          <w:i/>
        </w:rPr>
        <w:t>2.</w:t>
      </w:r>
      <w:r>
        <w:rPr>
          <w:i/>
        </w:rPr>
        <w:tab/>
      </w:r>
      <w:r w:rsidRPr="00BC34BA">
        <w:rPr>
          <w:i/>
        </w:rPr>
        <w:t>Zmiana wysokości wynagrodzenia obowiązywać będzie od dnia wejścia w życie zmian o których mowa w ust. 1.</w:t>
      </w:r>
    </w:p>
    <w:p w:rsidR="00BC34BA" w:rsidRPr="00BC34BA" w:rsidRDefault="00BC34BA" w:rsidP="00BD17E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BC34BA">
        <w:rPr>
          <w:i/>
        </w:rPr>
        <w:t>3.</w:t>
      </w:r>
      <w:r>
        <w:rPr>
          <w:i/>
        </w:rPr>
        <w:tab/>
      </w:r>
      <w:r w:rsidRPr="00BC34BA">
        <w:rPr>
          <w:i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BC34BA" w:rsidRPr="00BC34BA" w:rsidRDefault="00BC34BA" w:rsidP="00BD17E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BC34BA">
        <w:rPr>
          <w:i/>
        </w:rPr>
        <w:lastRenderedPageBreak/>
        <w:t>4.</w:t>
      </w:r>
      <w:r>
        <w:rPr>
          <w:i/>
        </w:rPr>
        <w:tab/>
      </w:r>
      <w:r w:rsidRPr="00BC34BA">
        <w:rPr>
          <w:i/>
        </w:rPr>
        <w:t>W przypadku zmiany, o której mowa w ust 1 lit. b) wynagrodzenie Wykonawcy ulegnie zmianie o wartość wzrostu całkowitego kosztu Wykonawcy wynikającą ze zwiększenia wynagrodzeń osób bezpośrednio wykonujących zamówienie</w:t>
      </w:r>
      <w:r w:rsidR="00BD17E1">
        <w:rPr>
          <w:i/>
        </w:rPr>
        <w:t xml:space="preserve"> do </w:t>
      </w:r>
      <w:r w:rsidRPr="00BC34BA">
        <w:rPr>
          <w:i/>
        </w:rPr>
        <w:t>wysokości zmienionego minimalnego wynagrodzenia albo</w:t>
      </w:r>
      <w:r w:rsidR="00BD17E1">
        <w:rPr>
          <w:i/>
        </w:rPr>
        <w:t xml:space="preserve"> do </w:t>
      </w:r>
      <w:r w:rsidRPr="00BC34BA">
        <w:rPr>
          <w:i/>
        </w:rPr>
        <w:t>wysokości zmienionej minimalnej stawki godzinowej,</w:t>
      </w:r>
      <w:r w:rsidR="00BD17E1">
        <w:rPr>
          <w:i/>
        </w:rPr>
        <w:t xml:space="preserve"> z </w:t>
      </w:r>
      <w:r w:rsidRPr="00BC34BA">
        <w:rPr>
          <w:i/>
        </w:rPr>
        <w:t>uwzględnieniem wszystkich obciążeń publicznoprawnych, wynikających</w:t>
      </w:r>
      <w:r w:rsidR="00BD17E1">
        <w:rPr>
          <w:i/>
        </w:rPr>
        <w:t xml:space="preserve"> z </w:t>
      </w:r>
      <w:r w:rsidRPr="00BC34BA">
        <w:rPr>
          <w:i/>
        </w:rPr>
        <w:t>tych zmian</w:t>
      </w:r>
    </w:p>
    <w:p w:rsidR="00BC34BA" w:rsidRPr="00BC34BA" w:rsidRDefault="00BC34BA" w:rsidP="00BD17E1">
      <w:pPr>
        <w:pStyle w:val="Trepisma"/>
        <w:spacing w:after="0" w:line="240" w:lineRule="auto"/>
        <w:ind w:left="426" w:right="284" w:hanging="284"/>
        <w:jc w:val="both"/>
        <w:rPr>
          <w:i/>
        </w:rPr>
      </w:pPr>
      <w:r w:rsidRPr="00BC34BA">
        <w:rPr>
          <w:i/>
        </w:rPr>
        <w:t>5.</w:t>
      </w:r>
      <w:r>
        <w:rPr>
          <w:i/>
        </w:rPr>
        <w:tab/>
      </w:r>
      <w:r w:rsidRPr="00BC34BA">
        <w:rPr>
          <w:i/>
        </w:rPr>
        <w:t>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BC34BA" w:rsidRDefault="00BC34BA" w:rsidP="00BD17E1">
      <w:pPr>
        <w:pStyle w:val="Trepisma"/>
        <w:spacing w:line="240" w:lineRule="auto"/>
        <w:ind w:left="426" w:right="284" w:hanging="284"/>
        <w:jc w:val="both"/>
        <w:rPr>
          <w:i/>
        </w:rPr>
      </w:pPr>
      <w:r w:rsidRPr="00BC34BA">
        <w:rPr>
          <w:i/>
        </w:rPr>
        <w:t>6.</w:t>
      </w:r>
      <w:r>
        <w:rPr>
          <w:i/>
        </w:rPr>
        <w:tab/>
      </w:r>
      <w:r w:rsidRPr="00BC34BA">
        <w:rPr>
          <w:i/>
        </w:rPr>
        <w:t>Za wyjątkiem sytuacji o której mowa w ust. 1 lit. a), wprowadzenie zmian wysokości wynagrodzenia wymaga uprzedniego złożenia przez Wykonawcę oświadczenia o wysokości dodatkowych koszów wynikających</w:t>
      </w:r>
      <w:r w:rsidR="00BD17E1">
        <w:rPr>
          <w:i/>
        </w:rPr>
        <w:t xml:space="preserve"> z </w:t>
      </w:r>
      <w:r w:rsidRPr="00BC34BA">
        <w:rPr>
          <w:i/>
        </w:rPr>
        <w:t>wprowadzenia zmian, o których mowa w ust 1 litera b)</w:t>
      </w:r>
      <w:r w:rsidR="00BD17E1">
        <w:rPr>
          <w:i/>
        </w:rPr>
        <w:t xml:space="preserve"> i </w:t>
      </w:r>
      <w:r w:rsidRPr="00BC34BA">
        <w:rPr>
          <w:i/>
        </w:rPr>
        <w:t>c).</w:t>
      </w:r>
    </w:p>
    <w:p w:rsidR="00BC34BA" w:rsidRPr="00AA2406" w:rsidRDefault="00BC34BA" w:rsidP="00BD17E1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BC34BA" w:rsidRDefault="00BC34BA" w:rsidP="00BD17E1">
      <w:pPr>
        <w:pStyle w:val="Trepisma"/>
        <w:jc w:val="both"/>
      </w:pPr>
      <w:r w:rsidRPr="00AA2406">
        <w:t xml:space="preserve">Zamawiający </w:t>
      </w:r>
      <w:r>
        <w:t xml:space="preserve">nie </w:t>
      </w:r>
      <w:r w:rsidRPr="00AA2406">
        <w:t>wyraż</w:t>
      </w:r>
      <w:r>
        <w:t>a</w:t>
      </w:r>
      <w:r w:rsidRPr="00AA2406">
        <w:t xml:space="preserve"> zgod</w:t>
      </w:r>
      <w:r>
        <w:t xml:space="preserve">y. </w:t>
      </w:r>
    </w:p>
    <w:p w:rsidR="00BD17E1" w:rsidRDefault="00BD17E1" w:rsidP="00BD17E1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 xml:space="preserve">Pytanie </w:t>
      </w:r>
      <w:r>
        <w:rPr>
          <w:b/>
          <w:u w:val="single"/>
        </w:rPr>
        <w:t>4</w:t>
      </w:r>
      <w:r w:rsidRPr="00AA2406">
        <w:rPr>
          <w:b/>
          <w:u w:val="single"/>
        </w:rPr>
        <w:t>.</w:t>
      </w:r>
    </w:p>
    <w:p w:rsidR="00BC34BA" w:rsidRDefault="00D14671" w:rsidP="00BD17E1">
      <w:pPr>
        <w:pStyle w:val="Trepisma"/>
        <w:jc w:val="both"/>
      </w:pPr>
      <w:r>
        <w:tab/>
      </w:r>
      <w:r w:rsidR="00BD17E1" w:rsidRPr="00BD17E1">
        <w:t>W przypadku gdy Zamawiający nie wyrazi zgody na modyfikację zapisów o</w:t>
      </w:r>
      <w:r>
        <w:t> </w:t>
      </w:r>
      <w:r w:rsidR="00BD17E1" w:rsidRPr="00BD17E1">
        <w:t>których mowa w pytania nr  3 - Zwracam się</w:t>
      </w:r>
      <w:r w:rsidR="00BD17E1">
        <w:t xml:space="preserve"> z </w:t>
      </w:r>
      <w:r w:rsidR="00BD17E1" w:rsidRPr="00BD17E1">
        <w:t>prośbą o zamieszczenie w projekcie umowy, postanowienia umożliwiającego</w:t>
      </w:r>
      <w:r w:rsidR="00BD17E1">
        <w:t xml:space="preserve"> stronom rozwiązanie umowy za 3 </w:t>
      </w:r>
      <w:r w:rsidR="00BD17E1" w:rsidRPr="00BD17E1">
        <w:t>miesięcznym  wypowiedzeniem. Swoją prośbę motywujemy ty,</w:t>
      </w:r>
      <w:r w:rsidR="00BD17E1">
        <w:t xml:space="preserve"> że </w:t>
      </w:r>
      <w:r w:rsidR="00BD17E1" w:rsidRPr="00BD17E1">
        <w:t>w momencie zawierania umowy strony nie są w stanie przewidzieć wszystkich okoliczności oraz czynników mogących mieć negatywny wpływ na wykonywanie zobowiązań umownych dla każdej ze stron, jak również w sposób kompleksowy</w:t>
      </w:r>
      <w:r w:rsidR="00BD17E1">
        <w:t xml:space="preserve"> i </w:t>
      </w:r>
      <w:r w:rsidR="00BD17E1" w:rsidRPr="00BD17E1">
        <w:t>wyczerpujący uregulować procedury postępowania w takich wypadkach. Wprowadzenie możliwości rozwiązania umowy za wypowiedzeniem ma na celu stworzenie podstaw prawnych</w:t>
      </w:r>
      <w:r w:rsidR="00BD17E1">
        <w:t xml:space="preserve"> do </w:t>
      </w:r>
      <w:r w:rsidR="00BD17E1" w:rsidRPr="00BD17E1">
        <w:t>zakończenia stosunku prawnego pomiędzy stronami, jeżeli</w:t>
      </w:r>
      <w:r w:rsidR="00BD17E1">
        <w:t xml:space="preserve"> z </w:t>
      </w:r>
      <w:r w:rsidR="00BD17E1" w:rsidRPr="00BD17E1">
        <w:t>określonych powodów nie są one zainteresowane dalszym kontynuowaniem współpracy na dotychczasowych warunkach. Obowiązujące przepisy ustawy</w:t>
      </w:r>
      <w:r w:rsidR="00BD17E1">
        <w:t xml:space="preserve"> prawo zamówień publicznych nie </w:t>
      </w:r>
      <w:r w:rsidR="00BD17E1" w:rsidRPr="00BD17E1">
        <w:t>zawierają w tym zakresie żadnych zakazów</w:t>
      </w:r>
      <w:r w:rsidR="00BD17E1">
        <w:t>.</w:t>
      </w:r>
    </w:p>
    <w:p w:rsidR="00BD17E1" w:rsidRPr="00AA2406" w:rsidRDefault="00BD17E1" w:rsidP="00BD17E1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BD17E1" w:rsidRDefault="00BD17E1" w:rsidP="00BD17E1">
      <w:pPr>
        <w:pStyle w:val="Trepisma"/>
        <w:jc w:val="both"/>
      </w:pPr>
      <w:r w:rsidRPr="00AA2406">
        <w:t xml:space="preserve">Zamawiający </w:t>
      </w:r>
      <w:r>
        <w:t xml:space="preserve">nie </w:t>
      </w:r>
      <w:r w:rsidRPr="00AA2406">
        <w:t>wyraż</w:t>
      </w:r>
      <w:r>
        <w:t>a</w:t>
      </w:r>
      <w:r w:rsidRPr="00AA2406">
        <w:t xml:space="preserve"> zgod</w:t>
      </w:r>
      <w:r>
        <w:t xml:space="preserve">y. </w:t>
      </w:r>
    </w:p>
    <w:p w:rsidR="009D4BF8" w:rsidRDefault="009D4BF8" w:rsidP="009D4BF8">
      <w:pPr>
        <w:pStyle w:val="Trepisma"/>
        <w:jc w:val="both"/>
        <w:rPr>
          <w:b/>
          <w:u w:val="single"/>
        </w:rPr>
      </w:pPr>
      <w:r w:rsidRPr="00AA2406">
        <w:rPr>
          <w:b/>
          <w:u w:val="single"/>
        </w:rPr>
        <w:t xml:space="preserve">Pytanie </w:t>
      </w:r>
      <w:r>
        <w:rPr>
          <w:b/>
          <w:u w:val="single"/>
        </w:rPr>
        <w:t>4</w:t>
      </w:r>
      <w:r w:rsidRPr="00AA2406">
        <w:rPr>
          <w:b/>
          <w:u w:val="single"/>
        </w:rPr>
        <w:t>.</w:t>
      </w:r>
    </w:p>
    <w:p w:rsidR="006A0E90" w:rsidRDefault="006A0E90" w:rsidP="009D4BF8">
      <w:pPr>
        <w:pStyle w:val="Trepisma"/>
        <w:jc w:val="both"/>
      </w:pPr>
      <w:r w:rsidRPr="006A0E90">
        <w:t xml:space="preserve">Zamawiający w załączniku nr 1 do SIWZ podał instrukcję czyszczenia różnych powierzchni wskazując m.in. na środki do usuwania plam z wykładzin dywanowych, takie jak: amoniak, skażony spirytus, itd. Pragniemy zaznaczyć, że środki te są silnie toksyczne i nie są przeznaczone do stosowania w pomieszczeniach użyteczności publicznej, w związku z tym prosimy o zrezygnowanie z wymogu stosowania tych </w:t>
      </w:r>
      <w:r w:rsidRPr="006A0E90">
        <w:lastRenderedPageBreak/>
        <w:t>środków oraz dopuszczenie nowoczesnych i bezpiecznych technologii usuwania zabrudzeń.</w:t>
      </w:r>
    </w:p>
    <w:p w:rsidR="006A0E90" w:rsidRPr="00AA2406" w:rsidRDefault="006A0E90" w:rsidP="006A0E90">
      <w:pPr>
        <w:pStyle w:val="Trepisma"/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6A0E90" w:rsidRDefault="006A0E90" w:rsidP="009D4BF8">
      <w:pPr>
        <w:pStyle w:val="Trepisma"/>
        <w:jc w:val="both"/>
      </w:pPr>
      <w:r>
        <w:t xml:space="preserve">W załączniku nr 1 do </w:t>
      </w:r>
      <w:proofErr w:type="spellStart"/>
      <w:r>
        <w:t>siwz</w:t>
      </w:r>
      <w:proofErr w:type="spellEnd"/>
      <w:r>
        <w:t xml:space="preserve"> zawarto wyciąg z instru</w:t>
      </w:r>
      <w:r w:rsidR="00896CC3">
        <w:t xml:space="preserve">kcji użytkowania budynku, w której </w:t>
      </w:r>
      <w:r>
        <w:t xml:space="preserve">wymienione są dopuszczone do </w:t>
      </w:r>
      <w:r w:rsidR="00896CC3">
        <w:t xml:space="preserve">stosowania, najbardziej agresywne środki czyszczące. Zamawiający wyraża zgodę na stosowanie innych, łagodniejszych środków, pod warunkiem, że są one przeznaczone do czyszczenia danego rodzaju </w:t>
      </w:r>
      <w:r w:rsidR="000713DA">
        <w:t xml:space="preserve">powierzchni, </w:t>
      </w:r>
      <w:r w:rsidR="00896CC3">
        <w:t xml:space="preserve">spowodują usunięcie zabrudzeń i nie </w:t>
      </w:r>
      <w:r w:rsidR="000713DA">
        <w:t xml:space="preserve">doprowadzą do </w:t>
      </w:r>
      <w:r w:rsidR="00896CC3">
        <w:t>zniszczenia czyszczonej powierzchni.</w:t>
      </w:r>
      <w:r w:rsidR="000713DA">
        <w:t xml:space="preserve"> Stosowane środki powinny posiadać </w:t>
      </w:r>
      <w:r w:rsidR="000713DA" w:rsidRPr="000713DA">
        <w:t>niezbędne atesty dopuszczające do stosowania zgodnie z obowiązującymi w tym zakresie przepisami</w:t>
      </w:r>
      <w:r w:rsidR="000713DA">
        <w:t>.</w:t>
      </w:r>
    </w:p>
    <w:p w:rsidR="00896CC3" w:rsidRPr="006A0E90" w:rsidRDefault="00896CC3" w:rsidP="009D4BF8">
      <w:pPr>
        <w:pStyle w:val="Trepisma"/>
        <w:jc w:val="both"/>
      </w:pPr>
    </w:p>
    <w:p w:rsidR="00D14671" w:rsidRDefault="00D14671" w:rsidP="00D14671">
      <w:pPr>
        <w:pStyle w:val="Trepisma"/>
        <w:jc w:val="both"/>
      </w:pPr>
      <w:r w:rsidRPr="00D14671">
        <w:t>Jednocześnie informuję, iż termin składania i otwarcia ofert pozostaje bez zmian.</w:t>
      </w:r>
    </w:p>
    <w:p w:rsidR="00D14671" w:rsidRDefault="00D14671" w:rsidP="00BD17E1">
      <w:pPr>
        <w:pStyle w:val="Trepisma"/>
        <w:spacing w:after="0" w:line="240" w:lineRule="auto"/>
        <w:ind w:left="5954"/>
        <w:jc w:val="center"/>
      </w:pPr>
    </w:p>
    <w:p w:rsidR="00D14671" w:rsidRDefault="00D14671" w:rsidP="00BD17E1">
      <w:pPr>
        <w:pStyle w:val="Trepisma"/>
        <w:spacing w:after="0" w:line="240" w:lineRule="auto"/>
        <w:ind w:left="5954"/>
        <w:jc w:val="center"/>
      </w:pP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  <w:r>
        <w:t>Dyrektor Sądu Rejonowego</w:t>
      </w: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  <w:r>
        <w:t>w Białymstoku</w:t>
      </w:r>
    </w:p>
    <w:p w:rsidR="00BD17E1" w:rsidRDefault="00BD17E1" w:rsidP="00BD17E1">
      <w:pPr>
        <w:pStyle w:val="Trepisma"/>
        <w:spacing w:after="0" w:line="240" w:lineRule="auto"/>
        <w:ind w:left="5954"/>
        <w:jc w:val="center"/>
      </w:pPr>
    </w:p>
    <w:p w:rsidR="00BD17E1" w:rsidRPr="00BD17E1" w:rsidRDefault="00BD17E1" w:rsidP="00BD17E1">
      <w:pPr>
        <w:pStyle w:val="Trepisma"/>
        <w:spacing w:after="0" w:line="240" w:lineRule="auto"/>
        <w:ind w:left="5954"/>
        <w:jc w:val="center"/>
      </w:pPr>
      <w:r>
        <w:t>Elżbieta Roszkowska</w:t>
      </w:r>
    </w:p>
    <w:sectPr w:rsidR="00BD17E1" w:rsidRPr="00BD17E1" w:rsidSect="0047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22" w:rsidRDefault="005A3722" w:rsidP="00EF2B54">
      <w:pPr>
        <w:spacing w:after="0" w:line="240" w:lineRule="auto"/>
      </w:pPr>
      <w:r>
        <w:separator/>
      </w:r>
    </w:p>
  </w:endnote>
  <w:endnote w:type="continuationSeparator" w:id="0">
    <w:p w:rsidR="005A3722" w:rsidRDefault="005A3722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BB" w:rsidRDefault="00135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BB" w:rsidRDefault="00135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135BBB" w:rsidRDefault="003E154B" w:rsidP="00135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22" w:rsidRDefault="005A3722" w:rsidP="00EF2B54">
      <w:pPr>
        <w:spacing w:after="0" w:line="240" w:lineRule="auto"/>
      </w:pPr>
      <w:r>
        <w:separator/>
      </w:r>
    </w:p>
  </w:footnote>
  <w:footnote w:type="continuationSeparator" w:id="0">
    <w:p w:rsidR="005A3722" w:rsidRDefault="005A3722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BB" w:rsidRDefault="00135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BB" w:rsidRDefault="00135B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135BBB" w:rsidRDefault="006E43F7" w:rsidP="00135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7827E6"/>
    <w:multiLevelType w:val="hybridMultilevel"/>
    <w:tmpl w:val="E0BC1172"/>
    <w:lvl w:ilvl="0" w:tplc="A922152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3"/>
    <w:rsid w:val="00000CE6"/>
    <w:rsid w:val="00011D1A"/>
    <w:rsid w:val="00045CDD"/>
    <w:rsid w:val="000713DA"/>
    <w:rsid w:val="00135BBB"/>
    <w:rsid w:val="0018150F"/>
    <w:rsid w:val="001A1AE5"/>
    <w:rsid w:val="001F76A1"/>
    <w:rsid w:val="00221FE3"/>
    <w:rsid w:val="00231E9D"/>
    <w:rsid w:val="00286FF6"/>
    <w:rsid w:val="002B40D6"/>
    <w:rsid w:val="002D358E"/>
    <w:rsid w:val="003C5B8E"/>
    <w:rsid w:val="003E154B"/>
    <w:rsid w:val="00475760"/>
    <w:rsid w:val="004A0D36"/>
    <w:rsid w:val="004A5254"/>
    <w:rsid w:val="005A3722"/>
    <w:rsid w:val="00604916"/>
    <w:rsid w:val="00605743"/>
    <w:rsid w:val="0062658A"/>
    <w:rsid w:val="00676A09"/>
    <w:rsid w:val="006A0E90"/>
    <w:rsid w:val="006E43F7"/>
    <w:rsid w:val="00710F03"/>
    <w:rsid w:val="00833599"/>
    <w:rsid w:val="00896CC3"/>
    <w:rsid w:val="008C6E92"/>
    <w:rsid w:val="008D2C4C"/>
    <w:rsid w:val="009D4BF8"/>
    <w:rsid w:val="009E3793"/>
    <w:rsid w:val="00A94EDB"/>
    <w:rsid w:val="00AA2406"/>
    <w:rsid w:val="00B67589"/>
    <w:rsid w:val="00BC34BA"/>
    <w:rsid w:val="00BD17E1"/>
    <w:rsid w:val="00BF5BE4"/>
    <w:rsid w:val="00C12438"/>
    <w:rsid w:val="00CF752E"/>
    <w:rsid w:val="00D14671"/>
    <w:rsid w:val="00D65BD0"/>
    <w:rsid w:val="00DB7FFA"/>
    <w:rsid w:val="00E53EFE"/>
    <w:rsid w:val="00EF2B54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AA2406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2020-07-13T08:28:00Z</dcterms:created>
  <dcterms:modified xsi:type="dcterms:W3CDTF">2020-07-13T08:28:00Z</dcterms:modified>
</cp:coreProperties>
</file>